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48"/>
        <w:ind w:firstLine="504"/>
        <w:rPr>
          <w:rFonts w:cs="宋体" w:asciiTheme="minorEastAsia" w:hAnsiTheme="minorEastAsia" w:eastAsiaTheme="minorEastAsia"/>
          <w:b w:val="0"/>
          <w:color w:val="auto"/>
          <w:sz w:val="24"/>
          <w:szCs w:val="24"/>
        </w:rPr>
      </w:pPr>
      <w:bookmarkStart w:id="0" w:name="_Toc339451615"/>
      <w:bookmarkStart w:id="1" w:name="_Toc340840376"/>
      <w:bookmarkStart w:id="2" w:name="_Toc339459019"/>
      <w:bookmarkStart w:id="3" w:name="_Toc340841576"/>
      <w:bookmarkStart w:id="4" w:name="_Toc400804542"/>
      <w:bookmarkStart w:id="5" w:name="_Toc341344929"/>
      <w:bookmarkStart w:id="6" w:name="_Toc298335893"/>
      <w:bookmarkStart w:id="7" w:name="_Toc344132820"/>
      <w:bookmarkStart w:id="8" w:name="_Toc339457273"/>
      <w:bookmarkStart w:id="382" w:name="_GoBack"/>
      <w:r>
        <w:rPr>
          <w:rFonts w:hint="eastAsia" w:cs="宋体" w:asciiTheme="minorEastAsia" w:hAnsiTheme="minorEastAsia" w:eastAsiaTheme="minorEastAsia"/>
          <w:color w:val="auto"/>
          <w:sz w:val="24"/>
          <w:szCs w:val="24"/>
        </w:rPr>
        <w:t>400章  收费系统</w:t>
      </w:r>
      <w:bookmarkEnd w:id="0"/>
      <w:bookmarkEnd w:id="1"/>
      <w:bookmarkEnd w:id="2"/>
      <w:bookmarkEnd w:id="3"/>
      <w:bookmarkEnd w:id="4"/>
      <w:bookmarkEnd w:id="5"/>
      <w:bookmarkEnd w:id="6"/>
      <w:bookmarkEnd w:id="7"/>
      <w:bookmarkEnd w:id="8"/>
    </w:p>
    <w:p>
      <w:pPr>
        <w:pStyle w:val="3"/>
        <w:spacing w:after="48" w:line="360" w:lineRule="auto"/>
        <w:ind w:firstLine="504"/>
        <w:rPr>
          <w:rFonts w:cs="宋体" w:asciiTheme="minorEastAsia" w:hAnsiTheme="minorEastAsia" w:eastAsiaTheme="minorEastAsia"/>
          <w:color w:val="auto"/>
          <w:sz w:val="24"/>
          <w:szCs w:val="24"/>
        </w:rPr>
      </w:pPr>
      <w:bookmarkStart w:id="9" w:name="_Toc339459020"/>
      <w:bookmarkStart w:id="10" w:name="_Toc341344930"/>
      <w:bookmarkStart w:id="11" w:name="_Toc491251272"/>
      <w:bookmarkStart w:id="12" w:name="_Toc340840377"/>
      <w:bookmarkStart w:id="13" w:name="_Toc491251613"/>
      <w:bookmarkStart w:id="14" w:name="_Toc5188526"/>
      <w:bookmarkStart w:id="15" w:name="_Toc82857079"/>
      <w:bookmarkStart w:id="16" w:name="_Toc340841577"/>
      <w:bookmarkStart w:id="17" w:name="_Toc5188603"/>
      <w:bookmarkStart w:id="18" w:name="_Toc339451616"/>
      <w:bookmarkStart w:id="19" w:name="_Toc339457274"/>
      <w:bookmarkStart w:id="20" w:name="_Toc5188757"/>
      <w:bookmarkStart w:id="21" w:name="_Toc400804543"/>
      <w:bookmarkStart w:id="22" w:name="_Toc344132821"/>
      <w:r>
        <w:rPr>
          <w:rFonts w:hint="eastAsia" w:cs="宋体" w:asciiTheme="minorEastAsia" w:hAnsiTheme="minorEastAsia" w:eastAsiaTheme="minorEastAsia"/>
          <w:color w:val="auto"/>
          <w:sz w:val="24"/>
          <w:szCs w:val="24"/>
        </w:rPr>
        <w:t>TS401  概述</w:t>
      </w:r>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30"/>
        <w:spacing w:line="360" w:lineRule="auto"/>
        <w:ind w:firstLine="480" w:firstLineChars="200"/>
        <w:rPr>
          <w:rFonts w:cs="宋体" w:asciiTheme="minorEastAsia" w:hAnsiTheme="minorEastAsia" w:eastAsiaTheme="minorEastAsia"/>
          <w:color w:val="auto"/>
          <w:sz w:val="24"/>
          <w:szCs w:val="24"/>
        </w:rPr>
      </w:pPr>
      <w:bookmarkStart w:id="23" w:name="_Toc400804544"/>
      <w:r>
        <w:rPr>
          <w:rFonts w:hint="eastAsia" w:cs="宋体" w:asciiTheme="minorEastAsia" w:hAnsiTheme="minorEastAsia" w:eastAsiaTheme="minorEastAsia"/>
          <w:color w:val="auto"/>
          <w:sz w:val="24"/>
          <w:szCs w:val="24"/>
        </w:rPr>
        <w:t>为满足管理者和出行者对公路“安全、便捷、高效、绿色、经济”的运输服务要求，切实落实“交通强国”、“数字交通”</w:t>
      </w:r>
      <w:r>
        <w:rPr>
          <w:rFonts w:cs="宋体" w:asciiTheme="minorEastAsia" w:hAnsiTheme="minorEastAsia" w:eastAsiaTheme="minorEastAsia"/>
          <w:color w:val="auto"/>
          <w:sz w:val="24"/>
          <w:szCs w:val="24"/>
        </w:rPr>
        <w:t>、</w:t>
      </w:r>
      <w:r>
        <w:rPr>
          <w:rFonts w:hint="eastAsia" w:cs="宋体" w:asciiTheme="minorEastAsia" w:hAnsiTheme="minorEastAsia" w:eastAsiaTheme="minorEastAsia"/>
          <w:color w:val="auto"/>
          <w:sz w:val="24"/>
          <w:szCs w:val="24"/>
        </w:rPr>
        <w:t>“新型基础设施建设”新要求，坚持服务优先</w:t>
      </w:r>
      <w:r>
        <w:rPr>
          <w:rFonts w:cs="宋体" w:asciiTheme="minorEastAsia" w:hAnsiTheme="minorEastAsia" w:eastAsiaTheme="minorEastAsia"/>
          <w:color w:val="auto"/>
          <w:sz w:val="24"/>
          <w:szCs w:val="24"/>
        </w:rPr>
        <w:t>、</w:t>
      </w:r>
      <w:r>
        <w:rPr>
          <w:rFonts w:hint="eastAsia" w:cs="宋体" w:asciiTheme="minorEastAsia" w:hAnsiTheme="minorEastAsia" w:eastAsiaTheme="minorEastAsia"/>
          <w:color w:val="auto"/>
          <w:sz w:val="24"/>
          <w:szCs w:val="24"/>
        </w:rPr>
        <w:t>提质增效</w:t>
      </w:r>
      <w:r>
        <w:rPr>
          <w:rFonts w:cs="宋体" w:asciiTheme="minorEastAsia" w:hAnsiTheme="minorEastAsia" w:eastAsiaTheme="minorEastAsia"/>
          <w:color w:val="auto"/>
          <w:sz w:val="24"/>
          <w:szCs w:val="24"/>
        </w:rPr>
        <w:t>、</w:t>
      </w:r>
      <w:r>
        <w:rPr>
          <w:rFonts w:hint="eastAsia" w:cs="宋体" w:asciiTheme="minorEastAsia" w:hAnsiTheme="minorEastAsia" w:eastAsiaTheme="minorEastAsia"/>
          <w:color w:val="auto"/>
          <w:sz w:val="24"/>
          <w:szCs w:val="24"/>
        </w:rPr>
        <w:t>稳步推进，充分结合云计算、大数据、物联网、人工智能、移动互联网等新技术的最新成果，打造支撑高速公路自由流收费业务的智慧收费体系，助力智慧收费实现少人化向无人化</w:t>
      </w:r>
      <w:r>
        <w:rPr>
          <w:rFonts w:cs="宋体" w:asciiTheme="minorEastAsia" w:hAnsiTheme="minorEastAsia" w:eastAsiaTheme="minorEastAsia"/>
          <w:color w:val="auto"/>
          <w:sz w:val="24"/>
          <w:szCs w:val="24"/>
        </w:rPr>
        <w:t>、</w:t>
      </w:r>
      <w:r>
        <w:rPr>
          <w:rFonts w:hint="eastAsia" w:cs="宋体" w:asciiTheme="minorEastAsia" w:hAnsiTheme="minorEastAsia" w:eastAsiaTheme="minorEastAsia"/>
          <w:color w:val="auto"/>
          <w:sz w:val="24"/>
          <w:szCs w:val="24"/>
        </w:rPr>
        <w:t>自由流收费的稳步演进，最终达成行业“供给侧”深化改革、筑造人民满意交通的目标。</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收费站融合云原生软件技术，以站级为核心，建设站级“大脑”，配置IP化、集成化、智能化车设备，实现收费车道的集约化建设、中心化管控、集中式收费。</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建设入口自助发卡/出口自助缴费车道（含称重功能），实现收费少人化，提高车道通行效率，同时建设应急收费系统，进一步增强收费系统可靠性。</w:t>
      </w:r>
    </w:p>
    <w:p>
      <w:pPr>
        <w:pStyle w:val="3"/>
        <w:spacing w:after="48" w:line="360" w:lineRule="auto"/>
        <w:ind w:firstLine="504"/>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TS401.1  管理体制</w:t>
      </w:r>
      <w:bookmarkEnd w:id="23"/>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本项目的管理体制为：“安徽省高速公路联网收费管理中心（不在本项目设计范围）—茶岭路段中心（不在本项目设计范围）—收费站”。</w:t>
      </w:r>
    </w:p>
    <w:p>
      <w:pPr>
        <w:adjustRightInd w:val="0"/>
        <w:snapToGrid w:val="0"/>
        <w:spacing w:line="360" w:lineRule="auto"/>
        <w:ind w:firstLine="480" w:firstLineChars="200"/>
        <w:rPr>
          <w:rFonts w:cs="宋体" w:asciiTheme="minorEastAsia" w:hAnsiTheme="minorEastAsia" w:eastAsiaTheme="minorEastAsia"/>
          <w:color w:val="auto"/>
          <w:sz w:val="24"/>
          <w:szCs w:val="24"/>
        </w:rPr>
      </w:pPr>
      <w:bookmarkStart w:id="24" w:name="_Toc400804545"/>
      <w:r>
        <w:rPr>
          <w:rFonts w:hint="eastAsia" w:cs="宋体" w:asciiTheme="minorEastAsia" w:hAnsiTheme="minorEastAsia" w:eastAsiaTheme="minorEastAsia"/>
          <w:color w:val="auto"/>
          <w:sz w:val="24"/>
          <w:szCs w:val="24"/>
        </w:rPr>
        <w:t>1、收费方式</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按照安徽省交通运输厅的统一规划，本项目纳入安徽省高速公路联网运营有限公司进行联网收费。</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根据交公路函【2019】320号取消高速公路省界收费站总体技术方案，本项目设置ETC门架系统，实现对所有车辆（包括ETC车辆和MTC车辆）分段计费。ETC车辆通过车载单元（OBU）和后台记账形式自动完成扣费，</w:t>
      </w:r>
      <w:r>
        <w:rPr>
          <w:rFonts w:cs="宋体" w:asciiTheme="minorEastAsia" w:hAnsiTheme="minorEastAsia" w:eastAsiaTheme="minorEastAsia"/>
          <w:color w:val="auto"/>
          <w:sz w:val="24"/>
          <w:szCs w:val="24"/>
        </w:rPr>
        <w:t>实现</w:t>
      </w:r>
      <w:r>
        <w:rPr>
          <w:rFonts w:hint="eastAsia" w:cs="宋体" w:asciiTheme="minorEastAsia" w:hAnsiTheme="minorEastAsia" w:eastAsiaTheme="minorEastAsia"/>
          <w:color w:val="auto"/>
          <w:sz w:val="24"/>
          <w:szCs w:val="24"/>
        </w:rPr>
        <w:t>“</w:t>
      </w:r>
      <w:r>
        <w:rPr>
          <w:rFonts w:cs="宋体" w:asciiTheme="minorEastAsia" w:hAnsiTheme="minorEastAsia" w:eastAsiaTheme="minorEastAsia"/>
          <w:color w:val="auto"/>
          <w:sz w:val="24"/>
          <w:szCs w:val="24"/>
        </w:rPr>
        <w:t>一次通行、一次扣费、一次告知</w:t>
      </w:r>
      <w:r>
        <w:rPr>
          <w:rFonts w:hint="eastAsia" w:cs="宋体" w:asciiTheme="minorEastAsia" w:hAnsiTheme="minorEastAsia" w:eastAsiaTheme="minorEastAsia"/>
          <w:color w:val="auto"/>
          <w:sz w:val="24"/>
          <w:szCs w:val="24"/>
        </w:rPr>
        <w:t>”。MTC车辆采用5.8GHz复合通行卡（CPC卡）作为通行介质，实现“分段计费、出口收费”，支持移动支付功能。</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2、收费站设置</w:t>
      </w:r>
    </w:p>
    <w:p>
      <w:pPr>
        <w:adjustRightInd w:val="0"/>
        <w:snapToGrid w:val="0"/>
        <w:spacing w:line="360" w:lineRule="auto"/>
        <w:ind w:firstLine="480" w:firstLineChars="200"/>
        <w:rPr>
          <w:rFonts w:hint="eastAsia"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本项目设置2处收费站，分别为独秀山收费站、潜山收费站,建成后由茶岭路段中心（不在本项目设计范围内）统一管理。</w:t>
      </w:r>
    </w:p>
    <w:p>
      <w:pPr>
        <w:adjustRightInd w:val="0"/>
        <w:snapToGrid w:val="0"/>
        <w:spacing w:line="360" w:lineRule="auto"/>
        <w:ind w:firstLine="2650" w:firstLineChars="1100"/>
        <w:rPr>
          <w:rFonts w:hint="eastAsia" w:asciiTheme="minorEastAsia" w:hAnsiTheme="minorEastAsia" w:eastAsiaTheme="minorEastAsia"/>
          <w:b/>
          <w:color w:val="auto"/>
          <w:sz w:val="24"/>
          <w:szCs w:val="24"/>
        </w:rPr>
      </w:pPr>
    </w:p>
    <w:p>
      <w:pPr>
        <w:adjustRightInd w:val="0"/>
        <w:snapToGrid w:val="0"/>
        <w:spacing w:line="360" w:lineRule="auto"/>
        <w:ind w:firstLine="2650" w:firstLineChars="1100"/>
        <w:rPr>
          <w:rFonts w:hint="eastAsia" w:asciiTheme="minorEastAsia" w:hAnsiTheme="minorEastAsia" w:eastAsiaTheme="minorEastAsia"/>
          <w:b/>
          <w:color w:val="auto"/>
          <w:sz w:val="24"/>
          <w:szCs w:val="24"/>
        </w:rPr>
      </w:pPr>
    </w:p>
    <w:p>
      <w:pPr>
        <w:adjustRightInd w:val="0"/>
        <w:snapToGrid w:val="0"/>
        <w:spacing w:line="360" w:lineRule="auto"/>
        <w:ind w:firstLine="2650" w:firstLineChars="11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 xml:space="preserve">收费站设置情况及车道数一览表     </w:t>
      </w:r>
      <w:r>
        <w:rPr>
          <w:rFonts w:asciiTheme="minorEastAsia" w:hAnsiTheme="minorEastAsia" w:eastAsiaTheme="minorEastAsia"/>
          <w:b/>
          <w:color w:val="auto"/>
          <w:sz w:val="24"/>
          <w:szCs w:val="24"/>
        </w:rPr>
        <w:t xml:space="preserve">  </w:t>
      </w:r>
      <w:r>
        <w:rPr>
          <w:rFonts w:hint="eastAsia" w:asciiTheme="minorEastAsia" w:hAnsiTheme="minorEastAsia" w:eastAsiaTheme="minorEastAsia"/>
          <w:b/>
          <w:color w:val="auto"/>
          <w:sz w:val="24"/>
          <w:szCs w:val="24"/>
        </w:rPr>
        <w:t xml:space="preserve">    表401-1</w:t>
      </w:r>
    </w:p>
    <w:tbl>
      <w:tblPr>
        <w:tblStyle w:val="59"/>
        <w:tblW w:w="5000" w:type="pct"/>
        <w:tblInd w:w="0" w:type="dxa"/>
        <w:tblBorders>
          <w:top w:val="thinThickSmallGap" w:color="auto" w:sz="18" w:space="0"/>
          <w:left w:val="none" w:color="auto" w:sz="0" w:space="0"/>
          <w:bottom w:val="thickThinSmallGap" w:color="auto" w:sz="18"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560"/>
        <w:gridCol w:w="988"/>
        <w:gridCol w:w="985"/>
        <w:gridCol w:w="2121"/>
        <w:gridCol w:w="2124"/>
        <w:gridCol w:w="2464"/>
      </w:tblGrid>
      <w:tr>
        <w:tblPrEx>
          <w:tblBorders>
            <w:top w:val="thinThickSmallGap" w:color="auto" w:sz="18" w:space="0"/>
            <w:left w:val="none" w:color="auto" w:sz="0" w:space="0"/>
            <w:bottom w:val="thickThinSmallGap" w:color="auto" w:sz="1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88" w:type="pct"/>
            <w:shd w:val="clear" w:color="auto" w:fill="auto"/>
            <w:vAlign w:val="center"/>
          </w:tcPr>
          <w:p>
            <w:pPr>
              <w:ind w:firstLine="118" w:firstLineChars="49"/>
              <w:jc w:val="center"/>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序号</w:t>
            </w:r>
          </w:p>
        </w:tc>
        <w:tc>
          <w:tcPr>
            <w:tcW w:w="538" w:type="pct"/>
            <w:shd w:val="clear" w:color="auto" w:fill="auto"/>
            <w:vAlign w:val="center"/>
          </w:tcPr>
          <w:p>
            <w:pPr>
              <w:ind w:left="6" w:leftChars="-50" w:hanging="111" w:hangingChars="46"/>
              <w:jc w:val="center"/>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收费站</w:t>
            </w:r>
          </w:p>
        </w:tc>
        <w:tc>
          <w:tcPr>
            <w:tcW w:w="536" w:type="pct"/>
            <w:shd w:val="clear" w:color="auto" w:fill="auto"/>
            <w:vAlign w:val="center"/>
          </w:tcPr>
          <w:p>
            <w:pPr>
              <w:ind w:left="6" w:leftChars="-50" w:hanging="111" w:hangingChars="46"/>
              <w:jc w:val="center"/>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车道数</w:t>
            </w:r>
          </w:p>
        </w:tc>
        <w:tc>
          <w:tcPr>
            <w:tcW w:w="1150" w:type="pct"/>
            <w:shd w:val="clear" w:color="auto" w:fill="auto"/>
            <w:vAlign w:val="center"/>
          </w:tcPr>
          <w:p>
            <w:pPr>
              <w:ind w:left="6" w:leftChars="-50" w:hanging="111" w:hangingChars="46"/>
              <w:jc w:val="center"/>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客车ETC车道</w:t>
            </w:r>
          </w:p>
        </w:tc>
        <w:tc>
          <w:tcPr>
            <w:tcW w:w="1152" w:type="pct"/>
            <w:vAlign w:val="center"/>
          </w:tcPr>
          <w:p>
            <w:pPr>
              <w:ind w:left="6" w:leftChars="-50" w:hanging="111" w:hangingChars="46"/>
              <w:jc w:val="center"/>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独立式自动发卡/自助缴费车道</w:t>
            </w:r>
          </w:p>
        </w:tc>
        <w:tc>
          <w:tcPr>
            <w:tcW w:w="1336" w:type="pct"/>
            <w:vAlign w:val="center"/>
          </w:tcPr>
          <w:p>
            <w:pPr>
              <w:ind w:left="6" w:leftChars="-50" w:hanging="111" w:hangingChars="46"/>
              <w:jc w:val="center"/>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混合车道（含嵌入式自动发卡/自助缴费）</w:t>
            </w:r>
          </w:p>
        </w:tc>
      </w:tr>
      <w:tr>
        <w:tblPrEx>
          <w:tblBorders>
            <w:top w:val="thinThickSmallGap" w:color="auto" w:sz="18" w:space="0"/>
            <w:left w:val="none" w:color="auto" w:sz="0" w:space="0"/>
            <w:bottom w:val="thickThinSmallGap" w:color="auto" w:sz="1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765" w:hRule="atLeast"/>
        </w:trPr>
        <w:tc>
          <w:tcPr>
            <w:tcW w:w="288" w:type="pct"/>
            <w:vAlign w:val="center"/>
          </w:tcPr>
          <w:p>
            <w:pPr>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w:t>
            </w:r>
          </w:p>
        </w:tc>
        <w:tc>
          <w:tcPr>
            <w:tcW w:w="538" w:type="pct"/>
            <w:vAlign w:val="center"/>
          </w:tcPr>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独秀山收费站</w:t>
            </w:r>
          </w:p>
        </w:tc>
        <w:tc>
          <w:tcPr>
            <w:tcW w:w="536" w:type="pct"/>
            <w:vAlign w:val="center"/>
          </w:tcPr>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3进3出</w:t>
            </w:r>
          </w:p>
        </w:tc>
        <w:tc>
          <w:tcPr>
            <w:tcW w:w="1150" w:type="pct"/>
            <w:vAlign w:val="center"/>
          </w:tcPr>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1进1出</w:t>
            </w:r>
          </w:p>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（入口1、出口1）</w:t>
            </w:r>
          </w:p>
        </w:tc>
        <w:tc>
          <w:tcPr>
            <w:tcW w:w="1152" w:type="pct"/>
            <w:vAlign w:val="center"/>
          </w:tcPr>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1进1出</w:t>
            </w:r>
          </w:p>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（入口2、出口2）</w:t>
            </w:r>
          </w:p>
        </w:tc>
        <w:tc>
          <w:tcPr>
            <w:tcW w:w="1336" w:type="pct"/>
            <w:vAlign w:val="center"/>
          </w:tcPr>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1进1出</w:t>
            </w:r>
          </w:p>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（入口3/出口3）</w:t>
            </w:r>
          </w:p>
        </w:tc>
      </w:tr>
      <w:tr>
        <w:tblPrEx>
          <w:tblBorders>
            <w:top w:val="thinThickSmallGap" w:color="auto" w:sz="18" w:space="0"/>
            <w:left w:val="none" w:color="auto" w:sz="0" w:space="0"/>
            <w:bottom w:val="thickThinSmallGap" w:color="auto" w:sz="1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88" w:type="pct"/>
            <w:vAlign w:val="center"/>
          </w:tcPr>
          <w:p>
            <w:pPr>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w:t>
            </w:r>
          </w:p>
        </w:tc>
        <w:tc>
          <w:tcPr>
            <w:tcW w:w="538" w:type="pct"/>
            <w:vAlign w:val="center"/>
          </w:tcPr>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潜山收费站</w:t>
            </w:r>
          </w:p>
        </w:tc>
        <w:tc>
          <w:tcPr>
            <w:tcW w:w="536" w:type="pct"/>
            <w:vAlign w:val="center"/>
          </w:tcPr>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3进5出</w:t>
            </w:r>
          </w:p>
        </w:tc>
        <w:tc>
          <w:tcPr>
            <w:tcW w:w="1150" w:type="pct"/>
            <w:vAlign w:val="center"/>
          </w:tcPr>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1进2出</w:t>
            </w:r>
          </w:p>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（入口1、出口1、2）</w:t>
            </w:r>
          </w:p>
        </w:tc>
        <w:tc>
          <w:tcPr>
            <w:tcW w:w="1152" w:type="pct"/>
            <w:vAlign w:val="center"/>
          </w:tcPr>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1进2出</w:t>
            </w:r>
          </w:p>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（入口2、出口3、4）</w:t>
            </w:r>
          </w:p>
        </w:tc>
        <w:tc>
          <w:tcPr>
            <w:tcW w:w="1336" w:type="pct"/>
            <w:vAlign w:val="center"/>
          </w:tcPr>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1进1出</w:t>
            </w:r>
          </w:p>
          <w:p>
            <w:pPr>
              <w:spacing w:line="360" w:lineRule="auto"/>
              <w:ind w:left="5" w:leftChars="-50" w:hanging="110" w:hangingChars="46"/>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（入口3、出口5）</w:t>
            </w:r>
          </w:p>
        </w:tc>
      </w:tr>
    </w:tbl>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3、收费标准</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路段车辆按照行驶里程和车型进行收费，车型标准为《收费公路车辆通行费车型分类》行业标准（JTT489--2019），收费标准为省交通运输厅、省发展改革委、省财厅下发的《安徽省收费公路车辆通行费计费方式调整方案》。</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4、通行券的选择</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根据交公路函【2019】320号取消高速公路省界收费站总体技术方案，本路段通行介质采用复合式通行卡(CPC)。</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5、智慧收费站</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收费站融合云原生软件技术，以站级为核心，建设站级“大脑”，配置IP化、集成化、智能化车道设备，实现收费车道的集约化建设、中心化管控、集中式收费。</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建设入口自助发卡/出口自助缴费车道，实现收费少人化，提高车道通行效率，同时建设应急收费系统，进一步增强收费系统可靠性。</w:t>
      </w:r>
    </w:p>
    <w:p>
      <w:pPr>
        <w:pStyle w:val="3"/>
        <w:spacing w:after="48" w:line="360" w:lineRule="auto"/>
        <w:ind w:firstLine="504"/>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TS401.2  工程范围</w:t>
      </w:r>
      <w:bookmarkEnd w:id="24"/>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本项目收费系统工程至少包括（但不局限于此）下列项目： </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1、收费车道设备</w:t>
      </w:r>
    </w:p>
    <w:p>
      <w:pPr>
        <w:pStyle w:val="30"/>
        <w:spacing w:line="360" w:lineRule="auto"/>
        <w:ind w:firstLine="482" w:firstLineChars="20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（1）ETC客车专用车道</w:t>
      </w:r>
    </w:p>
    <w:p>
      <w:pPr>
        <w:spacing w:line="360" w:lineRule="auto"/>
        <w:ind w:firstLine="480" w:firstLineChars="200"/>
        <w:rPr>
          <w:rFonts w:asciiTheme="minorEastAsia" w:hAnsiTheme="minorEastAsia" w:eastAsiaTheme="minorEastAsia"/>
          <w:color w:val="auto"/>
          <w:sz w:val="24"/>
        </w:rPr>
      </w:pPr>
      <w:bookmarkStart w:id="25" w:name="_Hlk195261411"/>
      <w:r>
        <w:rPr>
          <w:rFonts w:asciiTheme="minorEastAsia" w:hAnsiTheme="minorEastAsia" w:eastAsiaTheme="minorEastAsia"/>
          <w:color w:val="auto"/>
          <w:sz w:val="24"/>
        </w:rPr>
        <w:t>ETC客车专用车道系统构成：由RSU、主节点（集成费额显示器、车牌识别和自动栏杆机）、LED车道信息屏、雨棚信号灯、车辆检测器、关道节点（集成手动栏杆、雾灯</w:t>
      </w:r>
      <w:r>
        <w:rPr>
          <w:rFonts w:hint="eastAsia" w:asciiTheme="minorEastAsia" w:hAnsiTheme="minorEastAsia" w:eastAsiaTheme="minorEastAsia"/>
          <w:color w:val="auto"/>
          <w:sz w:val="24"/>
        </w:rPr>
        <w:t>、电动限高</w:t>
      </w:r>
      <w:r>
        <w:rPr>
          <w:rFonts w:asciiTheme="minorEastAsia" w:hAnsiTheme="minorEastAsia" w:eastAsiaTheme="minorEastAsia"/>
          <w:color w:val="auto"/>
          <w:sz w:val="24"/>
        </w:rPr>
        <w:t>）等组成。</w:t>
      </w:r>
    </w:p>
    <w:p>
      <w:pPr>
        <w:spacing w:line="360" w:lineRule="auto"/>
        <w:ind w:firstLine="482" w:firstLineChars="200"/>
        <w:rPr>
          <w:rFonts w:asciiTheme="minorEastAsia" w:hAnsiTheme="minorEastAsia" w:eastAsiaTheme="minorEastAsia"/>
          <w:b/>
          <w:color w:val="auto"/>
          <w:sz w:val="24"/>
        </w:rPr>
      </w:pPr>
      <w:r>
        <w:rPr>
          <w:rFonts w:asciiTheme="minorEastAsia" w:hAnsiTheme="minorEastAsia" w:eastAsiaTheme="minorEastAsia"/>
          <w:b/>
          <w:color w:val="auto"/>
          <w:sz w:val="24"/>
        </w:rPr>
        <w:t>ETC车道无需车道控制器，全部采用网络化设备，不再保留收费亭。</w:t>
      </w:r>
    </w:p>
    <w:bookmarkEnd w:id="25"/>
    <w:p>
      <w:pPr>
        <w:pStyle w:val="30"/>
        <w:spacing w:line="360" w:lineRule="auto"/>
        <w:ind w:firstLine="482" w:firstLineChars="20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（2）ETC/MTC混合车道</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ETC/MTC混合入口车道系统构成：车道控制器、RSU、主节点（集成费额显示器、车牌识别和自动栏杆机）、信息显示屏、雨棚信号灯、车辆检测器、收费员终端(显示器、键盘)、非接触式CPC卡读写器、称重检测（入口治超）、关道节点（集成手动栏杆、雾灯</w:t>
      </w:r>
      <w:bookmarkStart w:id="26" w:name="OLE_LINK52"/>
      <w:bookmarkStart w:id="27" w:name="OLE_LINK51"/>
      <w:r>
        <w:rPr>
          <w:rFonts w:hint="eastAsia" w:asciiTheme="minorEastAsia" w:hAnsiTheme="minorEastAsia" w:eastAsiaTheme="minorEastAsia"/>
          <w:color w:val="auto"/>
          <w:sz w:val="24"/>
        </w:rPr>
        <w:t>、电动限高</w:t>
      </w:r>
      <w:bookmarkEnd w:id="26"/>
      <w:bookmarkEnd w:id="27"/>
      <w:r>
        <w:rPr>
          <w:rFonts w:asciiTheme="minorEastAsia" w:hAnsiTheme="minorEastAsia" w:eastAsiaTheme="minorEastAsia"/>
          <w:color w:val="auto"/>
          <w:sz w:val="24"/>
        </w:rPr>
        <w:t>）等组成。</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ETC/MTC混合出口车道系统构成：由车道控制器、RSU、主节点（集成费额显示器、车牌识别和自动栏杆机）、信息显示屏、雨棚信号灯、车辆检测器、收费员终端(显示器、键盘)、非接触式CPC卡读写器、票据或发票打印机、称重检测（出口复检）、移动支付扫码终端、关道节点（集成手动栏杆、雾灯</w:t>
      </w:r>
      <w:r>
        <w:rPr>
          <w:rFonts w:hint="eastAsia" w:asciiTheme="minorEastAsia" w:hAnsiTheme="minorEastAsia" w:eastAsiaTheme="minorEastAsia"/>
          <w:color w:val="auto"/>
          <w:sz w:val="24"/>
        </w:rPr>
        <w:t>、电动限高</w:t>
      </w:r>
      <w:r>
        <w:rPr>
          <w:rFonts w:asciiTheme="minorEastAsia" w:hAnsiTheme="minorEastAsia" w:eastAsiaTheme="minorEastAsia"/>
          <w:color w:val="auto"/>
          <w:sz w:val="24"/>
        </w:rPr>
        <w:t>）等组成。</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混合车道保留车道控制器，所有混合车道设置自动发卡机/自助缴费机。内侧混合车道为独立式自动发卡/自助缴费车道，取消收费亭。外侧混合车道保留收费亭，与自动发卡机/自助缴费机共用车道设备</w:t>
      </w:r>
      <w:r>
        <w:rPr>
          <w:rFonts w:asciiTheme="minorEastAsia" w:hAnsiTheme="minorEastAsia" w:eastAsiaTheme="minorEastAsia"/>
          <w:b/>
          <w:bCs/>
          <w:color w:val="auto"/>
          <w:sz w:val="24"/>
        </w:rPr>
        <w:t>。</w:t>
      </w:r>
      <w:r>
        <w:rPr>
          <w:rFonts w:hint="eastAsia" w:asciiTheme="minorEastAsia" w:hAnsiTheme="minorEastAsia" w:eastAsiaTheme="minorEastAsia"/>
          <w:b/>
          <w:bCs/>
          <w:color w:val="auto"/>
          <w:sz w:val="24"/>
        </w:rPr>
        <w:t>收费站采用电子发票。</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每个车道天线控制器及车道交换机安装在主节点内置机柜，用于汇聚车道收费数据，然后通过光纤传输至收费广场交换机。收费广场交换机设置于收费亭前仓,收费广场交换机至收费站机房核心交换机采用双链路冗余方式，增强网络可靠性。</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2、收费计算机系统硬件</w:t>
      </w:r>
    </w:p>
    <w:p>
      <w:pPr>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本项目将传统分布在多个工控机上的收费系统集成部署在几台高性能服务器上，发挥数据共享与业务协同的优势，采用虚拟化技术和物联网协议，通过集中式控制方式和配置管理，在收费站服务器上虚拟出多个车道收费系统。多个虚拟收费系统运行时彼此独立且互不影响，实现ETC车辆的预收费和验证放行、所有机电设备的管理和控制、状态名单管理、车道和门架数据融合、交易授权管理等功能。</w:t>
      </w:r>
    </w:p>
    <w:p>
      <w:pPr>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收费站</w:t>
      </w:r>
      <w:r>
        <w:rPr>
          <w:rFonts w:hint="eastAsia" w:asciiTheme="minorEastAsia" w:hAnsiTheme="minorEastAsia" w:eastAsiaTheme="minorEastAsia"/>
          <w:bCs/>
          <w:color w:val="auto"/>
          <w:sz w:val="24"/>
          <w:szCs w:val="24"/>
        </w:rPr>
        <w:t>系统</w:t>
      </w:r>
      <w:r>
        <w:rPr>
          <w:rFonts w:hint="eastAsia" w:asciiTheme="minorEastAsia" w:hAnsiTheme="minorEastAsia" w:eastAsiaTheme="minorEastAsia"/>
          <w:color w:val="auto"/>
          <w:sz w:val="24"/>
          <w:szCs w:val="24"/>
        </w:rPr>
        <w:t>主要由收费站超融合服务器、视频服务器、收费管理计算机、图像管理计算机、交换机以及相关外设如：激光打印机、小型打印机和UPS等组成。</w:t>
      </w:r>
    </w:p>
    <w:p>
      <w:pPr>
        <w:spacing w:line="360" w:lineRule="auto"/>
        <w:ind w:firstLine="482" w:firstLineChars="2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 xml:space="preserve">本次设计在收费站部署高性能超融合服务器，收费广场数据交换机采用物理堆叠设计；此外，当断电断网等异常情况出现时，可通过ETC应急收费机辅助收费。ETC应急收费机通过专线接入收费系统，服务器在线恢复后，积压数据可恢复自动传输。 </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3、入口不停车超限检测</w:t>
      </w:r>
    </w:p>
    <w:p>
      <w:pPr>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入口称重检测应拒绝违法超限超载车辆驶入高速公路，出口开展出口称重抽查，通行车辆称重检测数据实时传输至所在收费站系统。实现称重检测数据与收费系统、治超系统数据交换共享、业务协同联动。</w:t>
      </w:r>
    </w:p>
    <w:p>
      <w:pPr>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ETC货车通行混合车道入口，称台无重量返回或称台故障，禁止货车通行。</w:t>
      </w:r>
    </w:p>
    <w:p>
      <w:pPr>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当ETC货车和ETC专项作业车、非ETC货车和非ETC专项作业车统一超限判定标准，根据称台返回轴数、总重判定车辆超限并进行拦截。</w:t>
      </w:r>
    </w:p>
    <w:p>
      <w:pPr>
        <w:spacing w:line="360" w:lineRule="auto"/>
        <w:ind w:firstLine="506"/>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超限检测数据利用收费数据上传通道至省联网公司，联网公司与省综合执法局进行超限检测数据交互。</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4、收费闭路电视监视系统</w:t>
      </w:r>
    </w:p>
    <w:p>
      <w:pPr>
        <w:spacing w:line="360" w:lineRule="auto"/>
        <w:ind w:firstLine="506"/>
        <w:rPr>
          <w:rFonts w:asciiTheme="minorEastAsia" w:hAnsiTheme="minorEastAsia" w:eastAsiaTheme="minorEastAsia"/>
          <w:b/>
          <w:color w:val="auto"/>
          <w:sz w:val="24"/>
        </w:rPr>
      </w:pPr>
      <w:r>
        <w:rPr>
          <w:rFonts w:hint="eastAsia" w:asciiTheme="minorEastAsia" w:hAnsiTheme="minorEastAsia" w:eastAsiaTheme="minorEastAsia"/>
          <w:b/>
          <w:color w:val="auto"/>
          <w:sz w:val="24"/>
        </w:rPr>
        <w:t>高速公路视频主要包括收费车道视频，收费广场视频、收费亭视频、门架视频（车牌识别）、道路监控视频，主要用于后期收费稽核、运营管理。在收费网中仅存储收费车道视频及门架视频（车牌识别）。收费广场视频、收费亭视频、室内视频、绿通摄像机及雨棚摄像机与监控视频共网段、同存储。</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本项目收费监控系统由前端摄像机采用网络摄像机，视频编码支持H.265、H.264压缩标准。视频传输采用双码流设计，高清码流用于解码输出监视墙或监视器上显示，低速率码流用于录像存储，存储时间30天。收费视频通过通信系统传输至路段中心，视频存储由收费系统统一设计。</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本项目在各收费亭内均设置亭内摄像机，室内摄像机覆盖机房、监控室、票管室等。</w:t>
      </w:r>
    </w:p>
    <w:p>
      <w:pPr>
        <w:spacing w:line="360" w:lineRule="auto"/>
        <w:ind w:firstLine="506"/>
        <w:rPr>
          <w:rFonts w:asciiTheme="minorEastAsia" w:hAnsiTheme="minorEastAsia" w:eastAsiaTheme="minorEastAsia"/>
          <w:b/>
          <w:color w:val="auto"/>
          <w:sz w:val="24"/>
        </w:rPr>
      </w:pPr>
      <w:r>
        <w:rPr>
          <w:rFonts w:hint="eastAsia" w:asciiTheme="minorEastAsia" w:hAnsiTheme="minorEastAsia" w:eastAsiaTheme="minorEastAsia"/>
          <w:b/>
          <w:color w:val="auto"/>
          <w:sz w:val="24"/>
        </w:rPr>
        <w:t>本项目收费车道视频采用主节点内车牌识别视频流，监控栏杆起落及自助交易设备运行状况，设计雨棚摄像机，采用吊装方式。</w:t>
      </w:r>
    </w:p>
    <w:p>
      <w:pPr>
        <w:spacing w:line="360" w:lineRule="auto"/>
        <w:ind w:firstLine="506"/>
        <w:rPr>
          <w:rFonts w:asciiTheme="minorEastAsia" w:hAnsiTheme="minorEastAsia" w:eastAsiaTheme="minorEastAsia"/>
          <w:color w:val="auto"/>
          <w:sz w:val="24"/>
        </w:rPr>
      </w:pPr>
      <w:r>
        <w:rPr>
          <w:rFonts w:hint="eastAsia" w:asciiTheme="minorEastAsia" w:hAnsiTheme="minorEastAsia" w:eastAsiaTheme="minorEastAsia"/>
          <w:b/>
          <w:bCs/>
          <w:color w:val="auto"/>
          <w:sz w:val="24"/>
        </w:rPr>
        <w:t>各收费站需满足存储不少于6个月图片信息和1个月视频信息</w:t>
      </w:r>
      <w:r>
        <w:rPr>
          <w:rFonts w:hint="eastAsia" w:asciiTheme="minorEastAsia" w:hAnsiTheme="minorEastAsia" w:eastAsiaTheme="minorEastAsia"/>
          <w:color w:val="auto"/>
          <w:sz w:val="24"/>
        </w:rPr>
        <w:t>。</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5、收费站安全设计</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路段中心、收费站参照网络安全等级保护中在安全通信网络、安全区域边界及安全计算环境方面的三级安全保护。</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6、收费站与各收费亭的内部有线对讲系统。</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7、收费站与各收费亭的安全报警系统。</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8、收费附属设施:</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包括不间断电源、配电箱、收费亭、收费亭空调、设备保护系统、传输介质（数据、图像、电力、控制电缆）、控制室内的控制台、活动椅等。</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9、收费车道、收费站设备的安装材料。</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10、设备制造、运输、安装、调试、试运行工作。</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11、备件和工具。</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12、设备在2年缺陷责任期内的维护。</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13、承包人应为业主提供详细设计、供货（含备件）、运输、安装、调试、开通、测试、试运行、技术文件、培训及在2年缺陷责任期内的担保等全套服务。</w:t>
      </w:r>
    </w:p>
    <w:p>
      <w:pPr>
        <w:pStyle w:val="3"/>
        <w:spacing w:after="48" w:line="360" w:lineRule="auto"/>
        <w:ind w:firstLine="504"/>
        <w:rPr>
          <w:rFonts w:cs="宋体" w:asciiTheme="minorEastAsia" w:hAnsiTheme="minorEastAsia" w:eastAsiaTheme="minorEastAsia"/>
          <w:color w:val="auto"/>
          <w:sz w:val="24"/>
          <w:szCs w:val="24"/>
        </w:rPr>
      </w:pPr>
      <w:bookmarkStart w:id="28" w:name="_Toc400804546"/>
      <w:r>
        <w:rPr>
          <w:rFonts w:hint="eastAsia" w:cs="宋体" w:asciiTheme="minorEastAsia" w:hAnsiTheme="minorEastAsia" w:eastAsiaTheme="minorEastAsia"/>
          <w:color w:val="auto"/>
          <w:sz w:val="24"/>
          <w:szCs w:val="24"/>
        </w:rPr>
        <w:t>TS401.3  界面划分</w:t>
      </w:r>
      <w:bookmarkEnd w:id="28"/>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本项目承包人应本着真诚、友好、合作的精神协调与其他承包人的工作。</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本项目承包人与其他承包人的界面划分详见“技术规范”的100章“总则”的有关条款。</w:t>
      </w:r>
      <w:bookmarkStart w:id="29" w:name="_Toc340840381"/>
      <w:bookmarkStart w:id="30" w:name="_Toc344132824"/>
      <w:bookmarkStart w:id="31" w:name="_Toc341344933"/>
      <w:bookmarkStart w:id="32" w:name="_Toc82857082"/>
      <w:bookmarkStart w:id="33" w:name="_Toc339451619"/>
      <w:bookmarkStart w:id="34" w:name="_Toc340841580"/>
      <w:bookmarkStart w:id="35" w:name="_Toc339459023"/>
      <w:bookmarkStart w:id="36" w:name="_Toc400804547"/>
      <w:bookmarkStart w:id="37" w:name="_Toc339457277"/>
    </w:p>
    <w:bookmarkEnd w:id="29"/>
    <w:bookmarkEnd w:id="30"/>
    <w:bookmarkEnd w:id="31"/>
    <w:bookmarkEnd w:id="32"/>
    <w:bookmarkEnd w:id="33"/>
    <w:bookmarkEnd w:id="34"/>
    <w:bookmarkEnd w:id="35"/>
    <w:bookmarkEnd w:id="36"/>
    <w:bookmarkEnd w:id="37"/>
    <w:p>
      <w:pPr>
        <w:pStyle w:val="3"/>
        <w:spacing w:after="48" w:line="360" w:lineRule="auto"/>
        <w:ind w:firstLine="504"/>
        <w:rPr>
          <w:rFonts w:cs="宋体" w:asciiTheme="minorEastAsia" w:hAnsiTheme="minorEastAsia" w:eastAsiaTheme="minorEastAsia"/>
          <w:color w:val="auto"/>
          <w:sz w:val="24"/>
          <w:szCs w:val="24"/>
        </w:rPr>
      </w:pPr>
      <w:bookmarkStart w:id="38" w:name="_Toc485612831"/>
      <w:bookmarkStart w:id="39" w:name="_Toc344132845"/>
      <w:bookmarkStart w:id="40" w:name="_Toc487529295"/>
      <w:bookmarkStart w:id="41" w:name="_Toc487614665"/>
      <w:bookmarkStart w:id="42" w:name="_Toc490906079"/>
      <w:bookmarkStart w:id="43" w:name="_Toc489177977"/>
      <w:bookmarkStart w:id="44" w:name="_Toc485975217"/>
      <w:bookmarkStart w:id="45" w:name="_Toc339457294"/>
      <w:bookmarkStart w:id="46" w:name="_Toc5188769"/>
      <w:bookmarkStart w:id="47" w:name="_Toc82857095"/>
      <w:bookmarkStart w:id="48" w:name="_Toc491251636"/>
      <w:bookmarkStart w:id="49" w:name="_Toc485609667"/>
      <w:bookmarkStart w:id="50" w:name="_Toc340841598"/>
      <w:bookmarkStart w:id="51" w:name="_Toc400804554"/>
      <w:bookmarkStart w:id="52" w:name="_Toc339459040"/>
      <w:bookmarkStart w:id="53" w:name="_Toc5188538"/>
      <w:bookmarkStart w:id="54" w:name="_Toc339451636"/>
      <w:bookmarkStart w:id="55" w:name="_Toc5188615"/>
      <w:bookmarkStart w:id="56" w:name="_Toc341344952"/>
      <w:bookmarkStart w:id="57" w:name="_Toc490905781"/>
      <w:bookmarkStart w:id="58" w:name="_Toc487343044"/>
      <w:bookmarkStart w:id="59" w:name="_Toc491251295"/>
      <w:bookmarkStart w:id="60" w:name="_Toc340840407"/>
      <w:bookmarkStart w:id="61" w:name="_Toc487343214"/>
      <w:bookmarkStart w:id="62" w:name="_Toc339457286"/>
      <w:bookmarkStart w:id="63" w:name="_Toc339459032"/>
      <w:bookmarkStart w:id="64" w:name="_Toc82857091"/>
      <w:bookmarkStart w:id="65" w:name="_Toc5188533"/>
      <w:bookmarkStart w:id="66" w:name="_Toc339451628"/>
      <w:bookmarkStart w:id="67" w:name="_Toc341344942"/>
      <w:bookmarkStart w:id="68" w:name="_Toc340841589"/>
      <w:bookmarkStart w:id="69" w:name="_Toc5188610"/>
      <w:bookmarkStart w:id="70" w:name="_Toc490905776"/>
      <w:bookmarkStart w:id="71" w:name="_Toc491251290"/>
      <w:bookmarkStart w:id="72" w:name="_Toc5188764"/>
      <w:bookmarkStart w:id="73" w:name="_Toc487343039"/>
      <w:bookmarkStart w:id="74" w:name="_Toc485975213"/>
      <w:bookmarkStart w:id="75" w:name="_Toc485609663"/>
      <w:bookmarkStart w:id="76" w:name="_Toc340840390"/>
      <w:bookmarkStart w:id="77" w:name="_Toc485612827"/>
      <w:bookmarkStart w:id="78" w:name="_Toc489177972"/>
      <w:bookmarkStart w:id="79" w:name="_Toc487529290"/>
      <w:bookmarkStart w:id="80" w:name="_Toc487614660"/>
      <w:bookmarkStart w:id="81" w:name="_Toc490906074"/>
      <w:bookmarkStart w:id="82" w:name="_Toc344132833"/>
      <w:bookmarkStart w:id="83" w:name="_Toc487343209"/>
      <w:bookmarkStart w:id="84" w:name="_Toc491251631"/>
      <w:bookmarkStart w:id="85" w:name="_Toc417820729"/>
      <w:bookmarkStart w:id="86" w:name="_Toc462042097"/>
      <w:bookmarkStart w:id="87" w:name="_Toc417182131"/>
      <w:bookmarkStart w:id="88" w:name="_Toc472611971"/>
      <w:bookmarkStart w:id="89" w:name="_Toc452711526"/>
      <w:bookmarkStart w:id="90" w:name="_Toc462042569"/>
      <w:bookmarkStart w:id="91" w:name="_Toc456690566"/>
      <w:bookmarkStart w:id="92" w:name="_Toc430073135"/>
      <w:r>
        <w:rPr>
          <w:rFonts w:hint="eastAsia" w:cs="宋体" w:asciiTheme="minorEastAsia" w:hAnsiTheme="minorEastAsia" w:eastAsiaTheme="minorEastAsia"/>
          <w:color w:val="auto"/>
          <w:sz w:val="24"/>
          <w:szCs w:val="24"/>
        </w:rPr>
        <w:t>TS402  收费计算机管理系统</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30"/>
        <w:spacing w:line="360" w:lineRule="auto"/>
        <w:ind w:firstLine="480" w:firstLineChars="200"/>
        <w:rPr>
          <w:rFonts w:cs="宋体" w:asciiTheme="minorEastAsia" w:hAnsiTheme="minorEastAsia" w:eastAsiaTheme="minorEastAsia"/>
          <w:color w:val="auto"/>
          <w:sz w:val="24"/>
          <w:szCs w:val="24"/>
        </w:rPr>
      </w:pPr>
      <w:bookmarkStart w:id="93" w:name="_Toc339459041"/>
      <w:bookmarkStart w:id="94" w:name="_Toc340840408"/>
      <w:bookmarkStart w:id="95" w:name="_Toc339451637"/>
      <w:bookmarkStart w:id="96" w:name="_Toc340841599"/>
      <w:bookmarkStart w:id="97" w:name="_Toc341344953"/>
      <w:bookmarkStart w:id="98" w:name="_Toc344132846"/>
      <w:bookmarkStart w:id="99" w:name="_Toc339457295"/>
      <w:r>
        <w:rPr>
          <w:rFonts w:hint="eastAsia" w:cs="宋体" w:asciiTheme="minorEastAsia" w:hAnsiTheme="minorEastAsia" w:eastAsiaTheme="minorEastAsia"/>
          <w:color w:val="auto"/>
          <w:sz w:val="24"/>
          <w:szCs w:val="24"/>
        </w:rPr>
        <w:t>根据收费系统管理层次，本路段收费计算机系统相应分为：路段收费中心计算机系统、收费站计算机系统、车道计算机系统。路段收费中心计算机系统与收费站计算机系统通过通信专网进行数据交换。</w:t>
      </w:r>
    </w:p>
    <w:p>
      <w:pPr>
        <w:pStyle w:val="30"/>
        <w:spacing w:line="360" w:lineRule="auto"/>
        <w:ind w:firstLine="480" w:firstLineChars="200"/>
        <w:rPr>
          <w:rFonts w:cs="宋体" w:asciiTheme="minorEastAsia" w:hAnsiTheme="minorEastAsia" w:eastAsiaTheme="minorEastAsia"/>
          <w:color w:val="auto"/>
          <w:sz w:val="24"/>
          <w:szCs w:val="24"/>
        </w:rPr>
      </w:pPr>
      <w:r>
        <w:rPr>
          <w:rFonts w:cs="宋体" w:asciiTheme="minorEastAsia" w:hAnsiTheme="minorEastAsia" w:eastAsiaTheme="minorEastAsia"/>
          <w:color w:val="auto"/>
          <w:sz w:val="24"/>
          <w:szCs w:val="24"/>
        </w:rPr>
        <w:t>收费站系统主要由收费站超融合服务器、视频服务器、收费管理计算机、图像管理计算机、交换机以及相关外设如：激光打印机、小型打印机等组成。</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将传统分布在多个工控机上的收费系统集成部署在几台高性能服务器上，发挥数据共享与业务协同的优势，采用虚拟化技术和物联网协议，通过集中式控制方式和配置管理，在收费站服务器上虚拟出多个车道收费系统。多个虚拟收费系统运行时彼此独立且互不影响，实现ETC车辆的预收费和验证放行、所有机电设备的管理和控制、状态名单管理、车道和门架数据融合、交易授权管理等功能。</w:t>
      </w:r>
    </w:p>
    <w:p>
      <w:pPr>
        <w:adjustRightInd w:val="0"/>
        <w:snapToGrid w:val="0"/>
        <w:spacing w:line="360" w:lineRule="auto"/>
        <w:ind w:firstLine="482" w:firstLineChars="20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本次设计在收费站部署高性能超融合服务器，收费广场数据交换机采用物理堆叠设计，收费广场至收费站机房之间管线采用双路由设计；此外，当断电断网等异常情况出现时，可通过ETC应急收费机辅助收费。ETC应急收费机通过专线接入收费系统，服务器在线恢复后，积压数据可恢复自动传输。</w:t>
      </w:r>
    </w:p>
    <w:p>
      <w:pPr>
        <w:pStyle w:val="3"/>
        <w:spacing w:after="48" w:line="360" w:lineRule="auto"/>
        <w:ind w:firstLine="504"/>
        <w:rPr>
          <w:rFonts w:cs="宋体" w:asciiTheme="minorEastAsia" w:hAnsiTheme="minorEastAsia" w:eastAsiaTheme="minorEastAsia"/>
          <w:color w:val="auto"/>
          <w:sz w:val="24"/>
          <w:szCs w:val="24"/>
        </w:rPr>
      </w:pPr>
      <w:bookmarkStart w:id="100" w:name="_Toc400804555"/>
      <w:r>
        <w:rPr>
          <w:rFonts w:hint="eastAsia" w:cs="宋体" w:asciiTheme="minorEastAsia" w:hAnsiTheme="minorEastAsia" w:eastAsiaTheme="minorEastAsia"/>
          <w:color w:val="auto"/>
          <w:sz w:val="24"/>
          <w:szCs w:val="24"/>
        </w:rPr>
        <w:t>TS402.1  工程范围</w:t>
      </w:r>
      <w:bookmarkEnd w:id="93"/>
      <w:bookmarkEnd w:id="94"/>
      <w:bookmarkEnd w:id="95"/>
      <w:bookmarkEnd w:id="96"/>
      <w:bookmarkEnd w:id="97"/>
      <w:bookmarkEnd w:id="98"/>
      <w:bookmarkEnd w:id="99"/>
      <w:bookmarkEnd w:id="100"/>
    </w:p>
    <w:p>
      <w:pPr>
        <w:tabs>
          <w:tab w:val="left" w:pos="900"/>
        </w:tabs>
        <w:spacing w:line="360" w:lineRule="auto"/>
        <w:ind w:firstLine="504" w:firstLineChars="210"/>
        <w:rPr>
          <w:rFonts w:cs="宋体" w:asciiTheme="minorEastAsia" w:hAnsiTheme="minorEastAsia" w:eastAsiaTheme="minorEastAsia"/>
          <w:color w:val="auto"/>
          <w:sz w:val="24"/>
          <w:szCs w:val="24"/>
        </w:rPr>
      </w:pPr>
      <w:bookmarkStart w:id="101" w:name="_Toc54692888"/>
      <w:bookmarkStart w:id="102" w:name="_Toc82857097"/>
      <w:r>
        <w:rPr>
          <w:rFonts w:hint="eastAsia" w:cs="宋体" w:asciiTheme="minorEastAsia" w:hAnsiTheme="minorEastAsia" w:eastAsiaTheme="minorEastAsia"/>
          <w:color w:val="auto"/>
          <w:sz w:val="24"/>
          <w:szCs w:val="24"/>
        </w:rPr>
        <w:t>本项目计算机网络拓扑按三层实施：收费广场－收费站－路段收费中心。</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1、收费广场的车道控制器通过六类网线以星型模式直接连接到收费广场以太网交换机上，该交换机通过单模光纤与收费站内的交换机相连。</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2、收费站机房设置服务器和若干功能计算机，通过收费站以太网交换机也构成星型拓扑的局域网；收费广场以太网交换机与收费站以太网交换机之间采用单模光纤连接。</w:t>
      </w:r>
    </w:p>
    <w:p>
      <w:pPr>
        <w:pStyle w:val="3"/>
        <w:spacing w:after="48" w:line="360" w:lineRule="auto"/>
        <w:ind w:firstLine="504"/>
        <w:rPr>
          <w:rFonts w:cs="宋体" w:asciiTheme="minorEastAsia" w:hAnsiTheme="minorEastAsia" w:eastAsiaTheme="minorEastAsia"/>
          <w:color w:val="auto"/>
          <w:sz w:val="24"/>
          <w:szCs w:val="24"/>
        </w:rPr>
      </w:pPr>
      <w:bookmarkStart w:id="103" w:name="_Toc339459043"/>
      <w:bookmarkStart w:id="104" w:name="_Toc340841601"/>
      <w:bookmarkStart w:id="105" w:name="_Toc341344955"/>
      <w:bookmarkStart w:id="106" w:name="_Toc344132848"/>
      <w:bookmarkStart w:id="107" w:name="_Toc339457297"/>
      <w:bookmarkStart w:id="108" w:name="_Toc339451639"/>
      <w:bookmarkStart w:id="109" w:name="_Toc400804557"/>
      <w:bookmarkStart w:id="110" w:name="_Toc340840410"/>
      <w:r>
        <w:rPr>
          <w:rFonts w:hint="eastAsia" w:cs="宋体" w:asciiTheme="minorEastAsia" w:hAnsiTheme="minorEastAsia" w:eastAsiaTheme="minorEastAsia"/>
          <w:color w:val="auto"/>
          <w:sz w:val="24"/>
          <w:szCs w:val="24"/>
        </w:rPr>
        <w:t>TS 402.3  对网络的一般要求</w:t>
      </w:r>
      <w:bookmarkEnd w:id="101"/>
      <w:bookmarkEnd w:id="102"/>
      <w:bookmarkEnd w:id="103"/>
      <w:bookmarkEnd w:id="104"/>
      <w:bookmarkEnd w:id="105"/>
      <w:bookmarkEnd w:id="106"/>
      <w:bookmarkEnd w:id="107"/>
      <w:bookmarkEnd w:id="108"/>
      <w:bookmarkEnd w:id="109"/>
      <w:bookmarkEnd w:id="110"/>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1、承包人提供的局域网络应严格遵循IEEE802.3系列标准，数据传输误码率</w:t>
      </w:r>
      <w:r>
        <w:rPr>
          <w:rFonts w:hint="eastAsia" w:cs="宋体" w:asciiTheme="minorEastAsia" w:hAnsiTheme="minorEastAsia" w:eastAsiaTheme="minorEastAsia"/>
          <w:color w:val="auto"/>
          <w:sz w:val="24"/>
          <w:szCs w:val="24"/>
        </w:rPr>
        <w:sym w:font="Symbol" w:char="F0A3"/>
      </w:r>
      <w:r>
        <w:rPr>
          <w:rFonts w:hint="eastAsia" w:cs="宋体" w:asciiTheme="minorEastAsia" w:hAnsiTheme="minorEastAsia" w:eastAsiaTheme="minorEastAsia"/>
          <w:color w:val="auto"/>
          <w:sz w:val="24"/>
          <w:szCs w:val="24"/>
        </w:rPr>
        <w:t>10</w:t>
      </w:r>
      <w:r>
        <w:rPr>
          <w:rFonts w:hint="eastAsia" w:cs="宋体" w:asciiTheme="minorEastAsia" w:hAnsiTheme="minorEastAsia" w:eastAsiaTheme="minorEastAsia"/>
          <w:color w:val="auto"/>
          <w:sz w:val="24"/>
          <w:szCs w:val="24"/>
          <w:vertAlign w:val="superscript"/>
        </w:rPr>
        <w:t>-11</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2、局域网与上级局域网互连应遵循TCP/IP协议系列，以在其支持下，实现互操作和协同工作。</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3、局域网络传输介质为6类非屏蔽双绞线和单模9/125</w:t>
      </w:r>
      <w:r>
        <w:rPr>
          <w:rFonts w:hint="eastAsia" w:cs="宋体" w:asciiTheme="minorEastAsia" w:hAnsiTheme="minorEastAsia" w:eastAsiaTheme="minorEastAsia"/>
          <w:color w:val="auto"/>
          <w:sz w:val="24"/>
          <w:szCs w:val="24"/>
        </w:rPr>
        <w:sym w:font="Symbol" w:char="F06D"/>
      </w:r>
      <w:r>
        <w:rPr>
          <w:rFonts w:hint="eastAsia" w:cs="宋体" w:asciiTheme="minorEastAsia" w:hAnsiTheme="minorEastAsia" w:eastAsiaTheme="minorEastAsia"/>
          <w:color w:val="auto"/>
          <w:sz w:val="24"/>
          <w:szCs w:val="24"/>
        </w:rPr>
        <w:t>m室外型光缆。</w:t>
      </w:r>
    </w:p>
    <w:p>
      <w:pPr>
        <w:pStyle w:val="3"/>
        <w:spacing w:after="48" w:line="360" w:lineRule="auto"/>
        <w:ind w:firstLine="504"/>
        <w:rPr>
          <w:rFonts w:cs="宋体" w:asciiTheme="minorEastAsia" w:hAnsiTheme="minorEastAsia" w:eastAsiaTheme="minorEastAsia"/>
          <w:color w:val="auto"/>
          <w:sz w:val="24"/>
          <w:szCs w:val="24"/>
        </w:rPr>
      </w:pPr>
      <w:bookmarkStart w:id="111" w:name="_Toc30491145"/>
      <w:bookmarkStart w:id="112" w:name="_Toc340841602"/>
      <w:bookmarkStart w:id="113" w:name="_Toc487614666"/>
      <w:bookmarkStart w:id="114" w:name="_Toc30826974"/>
      <w:bookmarkStart w:id="115" w:name="_Toc340840411"/>
      <w:bookmarkStart w:id="116" w:name="_Toc341344956"/>
      <w:bookmarkStart w:id="117" w:name="_Toc490905782"/>
      <w:bookmarkStart w:id="118" w:name="_Toc487529296"/>
      <w:bookmarkStart w:id="119" w:name="_Toc485612832"/>
      <w:bookmarkStart w:id="120" w:name="_Toc489177978"/>
      <w:bookmarkStart w:id="121" w:name="_Toc491251637"/>
      <w:bookmarkStart w:id="122" w:name="_Toc485975218"/>
      <w:bookmarkStart w:id="123" w:name="_Toc490906080"/>
      <w:bookmarkStart w:id="124" w:name="_Toc54692889"/>
      <w:bookmarkStart w:id="125" w:name="_Toc487343215"/>
      <w:bookmarkStart w:id="126" w:name="_Toc400804558"/>
      <w:bookmarkStart w:id="127" w:name="_Toc491251296"/>
      <w:bookmarkStart w:id="128" w:name="_Toc487343045"/>
      <w:bookmarkStart w:id="129" w:name="_Toc339457298"/>
      <w:bookmarkStart w:id="130" w:name="_Toc485609668"/>
      <w:bookmarkStart w:id="131" w:name="_Toc339459044"/>
      <w:bookmarkStart w:id="132" w:name="_Toc82857098"/>
      <w:bookmarkStart w:id="133" w:name="_Toc344132849"/>
      <w:bookmarkStart w:id="134" w:name="_Toc339451640"/>
      <w:r>
        <w:rPr>
          <w:rFonts w:hint="eastAsia" w:cs="宋体" w:asciiTheme="minorEastAsia" w:hAnsiTheme="minorEastAsia" w:eastAsiaTheme="minorEastAsia"/>
          <w:color w:val="auto"/>
          <w:sz w:val="24"/>
          <w:szCs w:val="24"/>
        </w:rPr>
        <w:t>TS402.4  收费站计算机网络构成</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1、主机设备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包括车道控制器、计算机和收费站服务器。</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车道控制器接入收费广场以太网交换机，收费广场以太网交换机与收费站以太网交换机通过单模光纤相接，形成一个树型网络。在收费站机房设置各种功能计算机，分别接入所在的收费站以太网交换机。同时设置服务器，作为收费站数据存储点，通过1000BASE-TX接入收费站以太网交换机，并作为收费站局域网与上级计算机系统之间的通信网关。</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在收费站机房设置各种功能计算机：收费管理计算机、图像管理计算机、CPC卡及财务管理计算机、其他业务管理计算机；</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收费管理计算机实现站级的数据统计、检索、打印报表功能，CPC卡管理功能，系统管理功能等；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图像计算机是收费闭路电视监视系统与计算机系统之间的连接设备。可以通过软件控制将视频图像在显示器上显示；可以从存储编码器上直接调看所录的数字视频录像；还可对车道抓拍图像进行查询、打印。</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2、网络设备</w:t>
      </w:r>
    </w:p>
    <w:p>
      <w:pPr>
        <w:widowControl/>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网络设备包括收费广场以太网交换机、视频交换机和收费站以太网交换机。</w:t>
      </w:r>
    </w:p>
    <w:p>
      <w:pPr>
        <w:widowControl/>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交换机实现收费计算机网络边缘接入，并提供上传接口。以太网交换机的ACL（访问控制列表）配置需要考虑到以下安全因素：</w:t>
      </w:r>
    </w:p>
    <w:p>
      <w:pPr>
        <w:numPr>
          <w:ilvl w:val="0"/>
          <w:numId w:val="1"/>
        </w:numPr>
        <w:adjustRightInd w:val="0"/>
        <w:snapToGrid w:val="0"/>
        <w:spacing w:line="360" w:lineRule="auto"/>
        <w:ind w:left="777"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车道控制器之间不能通信，屏蔽车道控制器与服务器之间不必要的通讯端口。</w:t>
      </w:r>
    </w:p>
    <w:p>
      <w:pPr>
        <w:numPr>
          <w:ilvl w:val="0"/>
          <w:numId w:val="1"/>
        </w:numPr>
        <w:adjustRightInd w:val="0"/>
        <w:snapToGrid w:val="0"/>
        <w:spacing w:line="360" w:lineRule="auto"/>
        <w:ind w:left="777"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所有设备的MAC地址、IP地址以及以太网交换机的端口需要绑定。</w:t>
      </w:r>
    </w:p>
    <w:p>
      <w:pPr>
        <w:numPr>
          <w:ilvl w:val="0"/>
          <w:numId w:val="1"/>
        </w:numPr>
        <w:adjustRightInd w:val="0"/>
        <w:snapToGrid w:val="0"/>
        <w:spacing w:line="360" w:lineRule="auto"/>
        <w:ind w:left="777"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关闭以太网交换机上未使用的端口。</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3、外设</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外设包括激光打印机、非接触CPC卡读写器等。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激光打印机作为日常打印、报表、图片等打印。</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非接触式CPC卡读写器可以作为操作人员进行身份认证登录使用。</w:t>
      </w:r>
    </w:p>
    <w:p>
      <w:pPr>
        <w:pStyle w:val="3"/>
        <w:spacing w:after="48" w:line="360" w:lineRule="auto"/>
        <w:ind w:firstLine="504"/>
        <w:rPr>
          <w:rFonts w:cs="宋体" w:asciiTheme="minorEastAsia" w:hAnsiTheme="minorEastAsia" w:eastAsiaTheme="minorEastAsia"/>
          <w:color w:val="auto"/>
          <w:sz w:val="24"/>
          <w:szCs w:val="24"/>
        </w:rPr>
      </w:pPr>
      <w:bookmarkStart w:id="135" w:name="_Toc82857100"/>
      <w:bookmarkStart w:id="136" w:name="_Toc144795153"/>
      <w:bookmarkStart w:id="137" w:name="_Toc339459046"/>
      <w:bookmarkStart w:id="138" w:name="_Toc341344958"/>
      <w:bookmarkStart w:id="139" w:name="_Toc400804559"/>
      <w:bookmarkStart w:id="140" w:name="_Toc344132850"/>
      <w:bookmarkStart w:id="141" w:name="_Toc339457300"/>
      <w:bookmarkStart w:id="142" w:name="_Toc339451642"/>
      <w:bookmarkStart w:id="143" w:name="_Toc340840413"/>
      <w:bookmarkStart w:id="144" w:name="_Toc340841604"/>
      <w:r>
        <w:rPr>
          <w:rFonts w:hint="eastAsia" w:cs="宋体" w:asciiTheme="minorEastAsia" w:hAnsiTheme="minorEastAsia" w:eastAsiaTheme="minorEastAsia"/>
          <w:color w:val="auto"/>
          <w:sz w:val="24"/>
          <w:szCs w:val="24"/>
        </w:rPr>
        <w:t>TS 402.</w:t>
      </w:r>
      <w:bookmarkStart w:id="145" w:name="_Toc472611996"/>
      <w:bookmarkStart w:id="146" w:name="_Toc417820757"/>
      <w:bookmarkStart w:id="147" w:name="_Toc465665799"/>
      <w:bookmarkStart w:id="148" w:name="_Toc417182162"/>
      <w:bookmarkStart w:id="149" w:name="_Toc430073165"/>
      <w:bookmarkStart w:id="150" w:name="_Toc452711557"/>
      <w:bookmarkStart w:id="151" w:name="_Toc465665974"/>
      <w:bookmarkStart w:id="152" w:name="_Toc456690597"/>
      <w:bookmarkStart w:id="153" w:name="_Toc466014320"/>
      <w:bookmarkStart w:id="154" w:name="_Toc462042128"/>
      <w:bookmarkStart w:id="155" w:name="_Toc464025348"/>
      <w:r>
        <w:rPr>
          <w:rFonts w:hint="eastAsia" w:cs="宋体" w:asciiTheme="minorEastAsia" w:hAnsiTheme="minorEastAsia" w:eastAsiaTheme="minorEastAsia"/>
          <w:color w:val="auto"/>
          <w:sz w:val="24"/>
          <w:szCs w:val="24"/>
        </w:rPr>
        <w:t>5  网络管理</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本计算机网络结点众多，通信实时性强，使用的网络设备较多，因此要求在该网内实施网络管理。网络管理的目的在于提供一种对网络进行规划、设计、操作运行、管理、监视、分析、控制、评估和扩展的手段。</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2、网络管理系统应满足以下要求：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（1）具有同时支持网络监视和控制两方面的能力。网络监视是为及时了解当前运行状态；网络控制是采用有效措施影响网络的运行。</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（2）能够管理网络各协议层。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（3）管理范围尽可能大，不仅能管理点到点的网络通信，还能管理端对端的网络通信；不仅管理基本网络设备，还有管理应用层的功能。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（4）系统开销尽可能小，根据实际情况对网络管理范围和所需的系统开销进行统一、合理的分配和选择。</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（5）可以管理不同厂家的网络设备，网络管理和运行应不受具体厂家设备的限制。</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（6）网络管理标准化，在设计网络管理和运行时，应采用标准化的网络管理机制和协议。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3、网络管理标准</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网络管理应遵循下列标准：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（1）管理框架</w:t>
      </w:r>
    </w:p>
    <w:p>
      <w:pPr>
        <w:spacing w:line="360" w:lineRule="auto"/>
        <w:ind w:firstLine="504" w:firstLineChars="210"/>
        <w:rPr>
          <w:rFonts w:cs="宋体" w:asciiTheme="minorEastAsia" w:hAnsiTheme="minorEastAsia" w:eastAsiaTheme="minorEastAsia"/>
          <w:color w:val="auto"/>
          <w:sz w:val="24"/>
          <w:szCs w:val="24"/>
        </w:rPr>
      </w:pPr>
      <w:bookmarkStart w:id="156" w:name="_Toc340840414"/>
      <w:r>
        <w:rPr>
          <w:rFonts w:hint="eastAsia" w:cs="宋体" w:asciiTheme="minorEastAsia" w:hAnsiTheme="minorEastAsia" w:eastAsiaTheme="minorEastAsia"/>
          <w:color w:val="auto"/>
          <w:sz w:val="24"/>
          <w:szCs w:val="24"/>
        </w:rPr>
        <w:t>ISO7498-4</w:t>
      </w:r>
      <w:bookmarkEnd w:id="156"/>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（2）公共管理信息服务元素CMISE相关标准</w:t>
      </w:r>
    </w:p>
    <w:p>
      <w:pPr>
        <w:spacing w:line="360" w:lineRule="auto"/>
        <w:ind w:firstLine="504" w:firstLineChars="210"/>
        <w:rPr>
          <w:rFonts w:cs="宋体" w:asciiTheme="minorEastAsia" w:hAnsiTheme="minorEastAsia" w:eastAsiaTheme="minorEastAsia"/>
          <w:color w:val="auto"/>
          <w:sz w:val="24"/>
          <w:szCs w:val="24"/>
        </w:rPr>
      </w:pPr>
      <w:bookmarkStart w:id="157" w:name="_Toc340840415"/>
      <w:r>
        <w:rPr>
          <w:rFonts w:hint="eastAsia" w:cs="宋体" w:asciiTheme="minorEastAsia" w:hAnsiTheme="minorEastAsia" w:eastAsiaTheme="minorEastAsia"/>
          <w:color w:val="auto"/>
          <w:sz w:val="24"/>
          <w:szCs w:val="24"/>
        </w:rPr>
        <w:t>ISO/IEC9595</w:t>
      </w:r>
      <w:bookmarkEnd w:id="157"/>
    </w:p>
    <w:p>
      <w:pPr>
        <w:spacing w:line="360" w:lineRule="auto"/>
        <w:ind w:firstLine="504" w:firstLineChars="210"/>
        <w:rPr>
          <w:rFonts w:cs="宋体" w:asciiTheme="minorEastAsia" w:hAnsiTheme="minorEastAsia" w:eastAsiaTheme="minorEastAsia"/>
          <w:color w:val="auto"/>
          <w:sz w:val="24"/>
          <w:szCs w:val="24"/>
        </w:rPr>
      </w:pPr>
      <w:bookmarkStart w:id="158" w:name="_Toc340840416"/>
      <w:r>
        <w:rPr>
          <w:rFonts w:hint="eastAsia" w:cs="宋体" w:asciiTheme="minorEastAsia" w:hAnsiTheme="minorEastAsia" w:eastAsiaTheme="minorEastAsia"/>
          <w:color w:val="auto"/>
          <w:sz w:val="24"/>
          <w:szCs w:val="24"/>
        </w:rPr>
        <w:t>ISO/IEC9596-1，2</w:t>
      </w:r>
      <w:bookmarkEnd w:id="158"/>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（3）管理信息结构SMI相关标准</w:t>
      </w:r>
    </w:p>
    <w:p>
      <w:pPr>
        <w:spacing w:line="360" w:lineRule="auto"/>
        <w:ind w:firstLine="504" w:firstLineChars="210"/>
        <w:rPr>
          <w:rFonts w:cs="宋体" w:asciiTheme="minorEastAsia" w:hAnsiTheme="minorEastAsia" w:eastAsiaTheme="minorEastAsia"/>
          <w:color w:val="auto"/>
          <w:sz w:val="24"/>
          <w:szCs w:val="24"/>
        </w:rPr>
      </w:pPr>
      <w:bookmarkStart w:id="159" w:name="_Toc340840417"/>
      <w:r>
        <w:rPr>
          <w:rFonts w:hint="eastAsia" w:cs="宋体" w:asciiTheme="minorEastAsia" w:hAnsiTheme="minorEastAsia" w:eastAsiaTheme="minorEastAsia"/>
          <w:color w:val="auto"/>
          <w:sz w:val="24"/>
          <w:szCs w:val="24"/>
        </w:rPr>
        <w:t>ISO/IEC10165-1，2，4，5</w:t>
      </w:r>
      <w:bookmarkEnd w:id="159"/>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（4）系统管理SM相关标准或标准草案</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ISO/IEC10040</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ISO/IEC10164-1，2</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4、网络管理的功能模型</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失效管理：应提供维护故障目标、响应故障通知、诊断测试、故障类型分析和确定、故障定位、故障隔离、系统重构、故障排除等功能。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配置管理：应至少包括识别被管网络的拓朴结构，标识网络中的各种对象，初始化和自动修改指定设备的配置，动态维护网络配置数据库等。其中收集和提供配置数据以及状态信息属例行操作。</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性能管理：应包括从被管对象中收集与网络性能有关的数据，分析和统计历史数据，建立性能分析模型，预测网络性能的长期趋势，并根据分析和预测的结果，对网络的拓朴结构、配置和参数进行调整，逐步达到最佳。</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安全管理：包括与安全措施有关的信息分发（如密钥分发和访问权设置等），与安全有关的事件通知（如网络有非法侵入，无权用户对特定信息的访问企图等），安全服务设施的创建、控制和删除，与安全有关的网络操作事件的记录、维护和查阅等日志管理工作等等。</w:t>
      </w:r>
    </w:p>
    <w:p>
      <w:pPr>
        <w:spacing w:line="360" w:lineRule="auto"/>
        <w:ind w:firstLine="504" w:firstLineChars="210"/>
        <w:rPr>
          <w:rFonts w:cs="宋体" w:asciiTheme="minorEastAsia" w:hAnsiTheme="minorEastAsia" w:eastAsiaTheme="minorEastAsia"/>
          <w:color w:val="auto"/>
          <w:sz w:val="24"/>
          <w:szCs w:val="24"/>
        </w:rPr>
      </w:pPr>
      <w:bookmarkStart w:id="160" w:name="_Toc340840418"/>
      <w:r>
        <w:rPr>
          <w:rFonts w:hint="eastAsia" w:cs="宋体" w:asciiTheme="minorEastAsia" w:hAnsiTheme="minorEastAsia" w:eastAsiaTheme="minorEastAsia"/>
          <w:color w:val="auto"/>
          <w:sz w:val="24"/>
          <w:szCs w:val="24"/>
        </w:rPr>
        <w:t>5、网络管理系统的评价标准</w:t>
      </w:r>
      <w:bookmarkEnd w:id="160"/>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对承包人提供的网络管理系统，业主将从以下几个方面进行评价：</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拓朴结构和网络配置的自动发现；</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灵活的通知方法；</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智能化的监视；</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良好的控制功能；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支持故障记录系统；</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多厂家集成；</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方便的访问控制；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友好的用户界面；</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易于扩充系统的编程接口；</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高质量的客户服务；</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合理的性能/价格比。</w:t>
      </w:r>
    </w:p>
    <w:p>
      <w:pPr>
        <w:pStyle w:val="3"/>
        <w:spacing w:after="48" w:line="360" w:lineRule="auto"/>
        <w:ind w:firstLine="504"/>
        <w:rPr>
          <w:rFonts w:cs="宋体" w:asciiTheme="minorEastAsia" w:hAnsiTheme="minorEastAsia" w:eastAsiaTheme="minorEastAsia"/>
          <w:color w:val="auto"/>
          <w:sz w:val="24"/>
          <w:szCs w:val="24"/>
        </w:rPr>
      </w:pPr>
      <w:bookmarkStart w:id="161" w:name="_Toc82857101"/>
      <w:bookmarkStart w:id="162" w:name="_Toc485975219"/>
      <w:bookmarkStart w:id="163" w:name="_Toc339451643"/>
      <w:bookmarkStart w:id="164" w:name="_Toc341344959"/>
      <w:bookmarkStart w:id="165" w:name="_Toc490906081"/>
      <w:bookmarkStart w:id="166" w:name="_Toc485609669"/>
      <w:bookmarkStart w:id="167" w:name="_Toc5188617"/>
      <w:bookmarkStart w:id="168" w:name="_Toc340840419"/>
      <w:bookmarkStart w:id="169" w:name="_Toc344132851"/>
      <w:bookmarkStart w:id="170" w:name="_Toc487343046"/>
      <w:bookmarkStart w:id="171" w:name="_Toc487614667"/>
      <w:bookmarkStart w:id="172" w:name="_Toc491251638"/>
      <w:bookmarkStart w:id="173" w:name="_Toc5188540"/>
      <w:bookmarkStart w:id="174" w:name="_Toc400804560"/>
      <w:bookmarkStart w:id="175" w:name="_Toc489177979"/>
      <w:bookmarkStart w:id="176" w:name="_Toc491251297"/>
      <w:bookmarkStart w:id="177" w:name="_Toc5188771"/>
      <w:bookmarkStart w:id="178" w:name="_Toc490905783"/>
      <w:bookmarkStart w:id="179" w:name="_Toc485612833"/>
      <w:bookmarkStart w:id="180" w:name="_Toc487343216"/>
      <w:bookmarkStart w:id="181" w:name="_Toc339459047"/>
      <w:bookmarkStart w:id="182" w:name="_Toc339457301"/>
      <w:bookmarkStart w:id="183" w:name="_Toc340841605"/>
      <w:bookmarkStart w:id="184" w:name="_Toc487529297"/>
      <w:bookmarkStart w:id="185" w:name="_Toc462042573"/>
      <w:bookmarkStart w:id="186" w:name="_Toc430073139"/>
      <w:bookmarkStart w:id="187" w:name="_Toc472611975"/>
      <w:bookmarkStart w:id="188" w:name="_Toc462042101"/>
      <w:bookmarkStart w:id="189" w:name="_Toc417820733"/>
      <w:bookmarkStart w:id="190" w:name="_Toc456690570"/>
      <w:bookmarkStart w:id="191" w:name="_Toc452711530"/>
      <w:bookmarkStart w:id="192" w:name="_Toc417182135"/>
      <w:r>
        <w:rPr>
          <w:rFonts w:hint="eastAsia" w:cs="宋体" w:asciiTheme="minorEastAsia" w:hAnsiTheme="minorEastAsia" w:eastAsiaTheme="minorEastAsia"/>
          <w:color w:val="auto"/>
          <w:sz w:val="24"/>
          <w:szCs w:val="24"/>
        </w:rPr>
        <w:t>TS402.6  系统功能</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bookmarkEnd w:id="185"/>
    <w:bookmarkEnd w:id="186"/>
    <w:bookmarkEnd w:id="187"/>
    <w:bookmarkEnd w:id="188"/>
    <w:bookmarkEnd w:id="189"/>
    <w:bookmarkEnd w:id="190"/>
    <w:bookmarkEnd w:id="191"/>
    <w:bookmarkEnd w:id="192"/>
    <w:p>
      <w:pPr>
        <w:spacing w:line="360" w:lineRule="auto"/>
        <w:ind w:firstLine="504" w:firstLineChars="210"/>
        <w:rPr>
          <w:rFonts w:cs="宋体" w:asciiTheme="minorEastAsia" w:hAnsiTheme="minorEastAsia" w:eastAsiaTheme="minorEastAsia"/>
          <w:color w:val="auto"/>
          <w:sz w:val="24"/>
          <w:szCs w:val="24"/>
        </w:rPr>
      </w:pPr>
      <w:bookmarkStart w:id="193" w:name="_Toc5188541"/>
      <w:bookmarkStart w:id="194" w:name="_Toc487529298"/>
      <w:bookmarkStart w:id="195" w:name="_Toc339457303"/>
      <w:bookmarkStart w:id="196" w:name="_Toc485612834"/>
      <w:bookmarkStart w:id="197" w:name="_Toc487343047"/>
      <w:bookmarkStart w:id="198" w:name="_Toc485609671"/>
      <w:bookmarkStart w:id="199" w:name="_Toc340840424"/>
      <w:bookmarkStart w:id="200" w:name="_Toc400804562"/>
      <w:bookmarkStart w:id="201" w:name="_Toc344132853"/>
      <w:bookmarkStart w:id="202" w:name="_Toc341344961"/>
      <w:bookmarkStart w:id="203" w:name="_Toc82857103"/>
      <w:bookmarkStart w:id="204" w:name="_Toc485975220"/>
      <w:bookmarkStart w:id="205" w:name="_Toc339459049"/>
      <w:bookmarkStart w:id="206" w:name="_Toc339451645"/>
      <w:bookmarkStart w:id="207" w:name="_Toc340841607"/>
      <w:bookmarkStart w:id="208" w:name="_Toc491251298"/>
      <w:bookmarkStart w:id="209" w:name="_Toc487614668"/>
      <w:bookmarkStart w:id="210" w:name="_Toc5188772"/>
      <w:bookmarkStart w:id="211" w:name="_Toc490906082"/>
      <w:bookmarkStart w:id="212" w:name="_Toc487343217"/>
      <w:bookmarkStart w:id="213" w:name="_Toc489177980"/>
      <w:bookmarkStart w:id="214" w:name="_Toc490905784"/>
      <w:bookmarkStart w:id="215" w:name="_Toc491251639"/>
      <w:bookmarkStart w:id="216" w:name="_Toc5188618"/>
      <w:r>
        <w:rPr>
          <w:rFonts w:hint="eastAsia" w:cs="宋体" w:asciiTheme="minorEastAsia" w:hAnsiTheme="minorEastAsia" w:eastAsiaTheme="minorEastAsia"/>
          <w:color w:val="auto"/>
          <w:sz w:val="24"/>
          <w:szCs w:val="24"/>
        </w:rPr>
        <w:t>将常规的收费站收费管理系统、车道收费系统统一采用站级集中部署，组建收费站数据资源池，采用虚拟化技术，按需动态分配服务器计算及存储资源，在收费站层级上为所有车道统一提供在线化的收费业务和数据融合，在保障车道传统收费业务基础上，在线生成交易流水数据。站级系统通过集中式控制方式和配置管理，与收费相关所有机电设备进行控制。</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级业务系统包括收费管理平台、夜间金库系统、运行监测、站部传输、稽查、站省传输及收费站名单服务、计费参数服务、PSAM在线授权、国密离线授权等收费相关服务；车道系统包括ETC系统、EMTC混合车道系统（含移动支付、入口治超）、便携式系统、应急车道系统、手持收费系统、自动发卡机系统、自助缴费机系统、特情处理系统； ETC门架系统，由部路网中心提供。以上所有收费系统应用软件由承包人负责安装部署、联调、联测、接入等。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本项目所需除收费应用软件外的其他一切软件（含收费站监控软件、收费站视频平台、路段中心视频平台接入等）的部署、联调、联测、接入等由承包人负责完成。</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软件应具有开放性，在不修改软件的情况下，能够方便的增减收费站、收费车道，便于扩展，必须按照《安徽省高速公路网联网收费技术规范》的有关规定，采用规范的非接触式CPC卡的统一标准和数据格式、数据编码、传输格式、通信协议、车辆分型标准、费率表格式、各机构收费业务标准、对各种特殊车辆的处理方法、IP地址与DNS规划等来规划、设计应用软件。</w:t>
      </w:r>
    </w:p>
    <w:p>
      <w:pPr>
        <w:spacing w:line="360" w:lineRule="auto"/>
        <w:ind w:firstLine="506" w:firstLineChars="210"/>
        <w:rPr>
          <w:rFonts w:cs="宋体" w:asciiTheme="minorEastAsia" w:hAnsiTheme="minorEastAsia" w:eastAsiaTheme="minorEastAsia"/>
          <w:b/>
          <w:bCs/>
          <w:color w:val="auto"/>
          <w:sz w:val="24"/>
          <w:szCs w:val="24"/>
        </w:rPr>
      </w:pPr>
      <w:r>
        <w:rPr>
          <w:rFonts w:hint="eastAsia" w:cs="宋体" w:asciiTheme="minorEastAsia" w:hAnsiTheme="minorEastAsia" w:eastAsiaTheme="minorEastAsia"/>
          <w:b/>
          <w:bCs/>
          <w:color w:val="auto"/>
          <w:sz w:val="24"/>
          <w:szCs w:val="24"/>
        </w:rPr>
        <w:t>收费系统部署含所有路段中心接入、收费站级业务系统（收费管理平台、夜间金库系统、运行监测、部站传输、稽查、部省传输及收费站名单服务、计费参数服务、PSAM在线授权、门架数据接收、国密离线授权等收费相关服务）；车道系统（ETC系统、EMTC混合车道系统（含移动支付、入口治超）、便携式系统、应急车道系统、手持收费系统、自动发卡机系统、自助缴费机系统、特情处理系统、车道运行监测软件部署）；含ETC门架系统，由部路网中心提供。以上所有收费系统应用软件承包人负责安装部署、联调、联测、接入等。</w:t>
      </w:r>
    </w:p>
    <w:p>
      <w:pPr>
        <w:spacing w:line="360" w:lineRule="auto"/>
        <w:ind w:firstLine="506" w:firstLineChars="210"/>
        <w:rPr>
          <w:rFonts w:cs="宋体" w:asciiTheme="minorEastAsia" w:hAnsiTheme="minorEastAsia" w:eastAsiaTheme="minorEastAsia"/>
          <w:b/>
          <w:bCs/>
          <w:color w:val="auto"/>
          <w:sz w:val="24"/>
          <w:szCs w:val="24"/>
        </w:rPr>
      </w:pPr>
      <w:r>
        <w:rPr>
          <w:rFonts w:hint="eastAsia" w:cs="宋体" w:asciiTheme="minorEastAsia" w:hAnsiTheme="minorEastAsia" w:eastAsiaTheme="minorEastAsia"/>
          <w:b/>
          <w:bCs/>
          <w:color w:val="auto"/>
          <w:sz w:val="24"/>
          <w:szCs w:val="24"/>
        </w:rPr>
        <w:t>视频管理平台软件开发及部署指本项目所需收费站监控内网视频管理平台、收费站收费内网视频管理平台等除收费应用软件外其他所需一切软件的开发、部署、联调、联测、接入等。</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1、收费站云收费软件功能要求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收费系统主要包括车道在线计费服务、设备控制服务、站级管理服务、密钥服务、数据生成服务等组成。在线计费服务包括车道出入出口交易服务、特情交易服务、计费服务、状态名单查询服务以及数据共享服务。其中收费业务服务包括ETC车辆出入口交易服务、混合车道出入口交易服务。</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收费数据融合系统包括收费站、收费车道配置管理、设备运维监测、交易数据、牌识图片、设备日志汇总、综合稽查、数据传输等功能。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车道终端收费软件系统主要实现具体的车道业务执行，人机交互服务，主要包括车道前端软件和岗亭外设的逻辑控制，离线收费的参数更新、以及手持终端的收费软件。</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收费站系统功能包括：</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（1）收费业务</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处理所有车道的收费业务处理流程，包括正常的ETC、CPC收费、特情收费等业务。</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（2）设备控制服务</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设备控制服务包括队列管理、获取标签和用户卡服务、交易申请服务、异常车辆处理服务、卡签操作服务、外设及抓拍控制服务。</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（3）流水生成</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由于车道所有收费业务流程都在站级系统中实现，因此在完成整个过车流程后，由站级系统直接生成出入口交易流水，并且导入到数据库，减少了车道到站级的流水传输过程，提高数据传输效率。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（4）PSAM授权</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站级系统支持与PSAM授权服务器或省中心PSAM授权接口交互，实现卡机和ETC天线中的PSAM卡在线授权功能。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（5）计费模块</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站级系统通过调用计费模块，实现正常车辆的计费功能。通过部署Nginx服务，系统可实现对前端车道控制软件发送的处理请求进行负载均衡，针对多条车道，可加载1-2个计费模块即可满足全站所有车道的计费需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（6）在线计费</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当ETC/MTC车辆在出口遇到特殊情况时，由站级系统直接发起请求，调用省中心在线计费接口完成计费，无需前端车道控制软件参与，降低总体收费系统的耦合度，提高处理效率。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（7）最小费额</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站级系统只需要加载一份本收费站的全网最小费额参数，即可实现交易过程中OBU内金额、CPC卡内金额与最小费额对比功能，同时也支持当OBU内金额、CPC卡内金额不可靠，且在线计费失败时采用最小费额收费功能。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（8）外设控制服务</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站级系统通过调用外设控制服务，实现外部设备的通讯、控制和参数管理。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（9）其他</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收费系统软件需具备节假日纸券扫码功能。</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2、入口车道系统软件要求</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（1）车道基本功能要求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1）ETC 入口车道软件同时支持双片式OBU、单片式OBU 交易，并在OBU（或ETC 卡）内写入入口信息。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2）ETC/MTC 混合入口车道软件同时支持双片式OBU、单片式OBU 及CPC 卡交易，写入入口信息。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3）识别ETC、MTC 车辆，自动检测、准确识别通行车辆的车牌（车牌号、车牌颜色）、车型（如有）等信息，ETC/MTC混合入口车道支持人工校核、修正车牌识别信息。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4）具备接收、更新收费参数（ETC 状态名单、信用黑名单、大件运输车辆名单、省内通行费优惠减免车辆名单、“两客一危”车辆名单等）功能，并在交易记录中写入特情车辆信息。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5）接收入口称重检测数据，并根据《收费公路联网收费运营和服务规则》判定、处置。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6）承载ETC 门架功能的收费站，所辖车道还应具备接收、更新省联网中心下发的本站收费费率并计算通行费功能，在OBU（或ETC 卡）、CPC 卡内相应位置写入入口信息、扣费（或计费）信息，并形成ETC 交易流水（或通行凭证）或CPC卡通行记录；双片式OBU 余额不足时，先扣余额，应扣金额、实扣金额、卡面扣费金额分别上传。</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7）具备车道连接状态、参数状态和关键设备状态的运行监测功能，并可根据监测情况，生成相应运行监测数据。监测内容有：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①车道连接状态，且当车道处于连接状态时，应可获知车道是否开启/关闭、操作系统版本号和车道软件版本号。</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②车道参数状态，指各类状态名单的版本信息。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③关键设备运行状态，包括：RSU、高清车牌图像识别设备、车道摄像机、车道控制器（CPU、内存和硬盘）等设备状态。设备状态分为：正常、异常和无配置（即无该类设备）。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8）具备按自然日进行车道交易的统计处理能力。</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9）ETC 交易流水（或通行凭证）、ETC 通行记录、CPC卡通行记录、图像流水应与车辆抓拍图片进行自动匹配，并应按接口规范要求实时上传至收费站系统。</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10）可配置ETC 手持机，满足ETC 专用车道交易失败时人工处理。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11）具备北斗校时或接收站级北斗授时参数功能。</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（2）ETC 入口车道其他功能要求及流程</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1）对ETC 通行有效性（OBU 有效期、拆卸、签卡一致性、入口有效性判断，查验不通过的，车道拦截，按《收费公路联网收费运营和服务规则》处理。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2）识别信用黑名单车辆，车道拦截并提示黑名单信息，按《收费公路联网收费运营和服务规则》处理。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3）识别无OBU 车辆、ETC 通行异常车辆、储值卡余额为0 的车辆（双片式OBU）、大件运输车辆、牵引拖挂车辆，引导其驶入ETC/MTC 混合入口车道（或人工）处理。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4）识别未插入ETC 用户卡的双片式OBU 车辆，用户插卡重新交易，若交易失败转ETC/MTC 混合出口车道（或人工）处理。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5）识别“两客一危”车辆，根据相关要求判断是否允许驶入高速公路。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6）货车通行时，依据入口称重检测数据判定车辆是否超载，并自动拦截超载车辆。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7）所有无法正常通行的ETC 车辆，引导至ETC/MTC 混合入口车道（或人工）处理。</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（3）ETC/MTC 混合入口车道其他功能要求及流程</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1）自动判定信用黑名单车辆，车道拦截并提示黑名单信息，按《收费公路联网收费运营和服务规则》处理。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2）货车通行时，根据入口称重检测数据进行判定，系统自动拦截超载车辆。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3）ETC 车辆通行时，自动识别未插入ETC 用户卡的双片式OBU 车辆（正常ETC 用户，刷ETC 卡后放行）、ETC 通行异常车辆，系统自动拦截、显示特情信息，转人工处理；安装OBU 的牵引拖挂车，应按照《收费公路联网收费运营和服务规则》核验，并将车辆实际车型写入OBU 入/出口信息文件。</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4）MTC 车辆或ETC 设备无法正常使用的车辆通行时，系统自动准确识别车牌号码、车牌颜色、车型（如有），将人工核实后的实际车牌、车型及入口信息等写入CPC 卡内；大件运输车辆，还应按照《收费公路联网收费运营和服务规则》核验相关审批信息。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5）具备“两客一危”车辆通行判定功能，根据相关要求进行准入判定，准予驶入的参照正常车辆交易流程，否则予以拦截。</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6）交易完成后，应实时生成入口站通行数据并上传至收费站及部、省中心。承载ETC 门架功能的收费车道除生成入口站通行数据外，ETC 车辆还应生成门架计费扣费交易数据。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7）收费车道门架ETC 交易计费扣费交易数据、入口站通行数据、车牌识别数据应与车辆抓拍图片进行自动匹配，并应按接口规范要求实时上传至收费站系统。</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8）ETC 复合消费失败，ETC 卡内已写入有效信息的，未生成入口站通行数据时通过收费站系统将人工刷卡信息与复合消费交易失败信息进行合并，形成完整的入口站通行数据、车牌识别数据。承载门架功能的，在此基础上还应生成完整的门架计费扣费交易数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9）系统应具备CPC 卡电量判定功能，电量低于相关要求的按《收费公路联网收费运营和服务规则》处理。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10）超限判定，入口称重检测数据和入口称重图像数据等治超数据管理及上传。</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3、出口车道系统软件要求</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（1）车道基本功能要求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1）ETC 出口车道软件同时支持双片式OBU、单片式OBU 交易，清除入口信息。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2）ETC/MTC 混合出口车道软件同时支持双片式OBU、单片式OBU 及CPC 卡交易，清除入口信息，MTC 交易还应清除CPC 卡内过站和计费信息。具体操作如下：</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单省交易时，向省联网中心系统请求计费服务，省联网中心根据车辆过站记录计算通行费，车道依据返回结果（可与CPC卡内计费信息校核）收取通行费。多省交易时，向省联网中心请求后，省联网中心系统向部联网中心请求通行费计费服务，部联网中心根据各省联网中心上传的信息拟合数据，计算通行费，车道依据返回结果收取通行费。</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3）识别ETC、MTC 车辆，自动检测、准确识别通行车辆的车牌（车牌号、车牌颜色）、车型（如有）等信息，ETC/MTC混合出口车道支持人工校核、修正车牌识别信息。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4）具备接收、更新收费参数（信用黑名单、大件运输车辆名单、省内通行费优惠减免车辆名单、“两客一危”车辆名单等）功能，并在通行记录中写入特情车辆信息。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5）承载ETC 门架功能的收费站，所辖车道应具备接收、更新省联网中心下发的本站收费费率并计算通行费功能，MTC车辆完成计费、收费后清除CPC 卡入口信息、过站信息及计费信息并触发掉电、休眠。</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6）具备对车道连接状态、参数状态和关键设备状态的运行监测功能，并可根据监测的情况，生成相应的运行监测数据。监测内容有：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①车道连接状态，且当车道处于连接状态时，应可获知车道是否开启/关闭、操作系统版本号和车道软件版本号。</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②车道参数状态，指各类状态名单的版本信息。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③关键设备运行状态，包括：RSU、高清车牌图像识别设备、车道摄像机、车道控制器（CPU、内存和硬盘）等设备状态。设备状态分为：正常、异常和无配置（即无该类设备）。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7）具备按自然日进行车道交易的统计处理能力。</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8）CPC 卡通行记录、ETC 交易流水（或通行凭证）、ETC交易记录、图像流水应与车辆抓拍图片进行自动匹配，并应按接口规范要求实时上传至收费站系统。</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9）可配置ETC 手持机，满足ETC 专用车道交易失败时人工处理。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10）具备北斗校时或接收站级北斗授时参数功能。</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（2）ETC 出口车道其他功能要求及流程</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1）对ETC 通行有效性（OBU 有效期、拆卸、签卡一致性）、入口有效性判断，查验不通过的，车道拦截，按《收费公路联网收费运营和服务规则》处理。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2）识别信用黑名单，车道拦截并提示黑名单信息，按《收费公路联网收费运营和服务规则》处理。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3）识别无OBU 车辆、ETC 通行异常车辆（状态名单车辆不做判定）、无入口信息、大件运输车辆，引导其驶入ETC/MTC 混合出口车道（或人工）处理。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4）识别未插入ETC 用户卡的双片式OBU 车辆，用户插卡重新交易，若交易失败转ETC/MTC 混合出口车道（或人工）处理。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5）识别判断“两客一危”车辆是否符合通行要求并在ETC 交易流水（或通行凭证）中记录。</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（3）ETC/MTC 混合出口车道其他功能要求及流程</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1）所有出口ETC/MTC 混合车道均应参照《ETC 费显和清分结算系统优化工程实施方案（试行）》相关要求对前序漏收门架进行动态拟合，出口一次扣费并正常显示扣费信息。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2）车道软件通过读取CPC 卡内EF01 文件入口信息、EF02 文件内通行省份个数判定通行车辆为本省交易或跨省交易。如为跨省交易，EF04 文件内“最新ETC 门架信息”为非省界门架的，或“路径拟合成功或失败标识”为失败（0x01）的，通过省中心向部中心请求计费服务，并根据返回的计费结果信息进行收费。</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3）具备接收、更新本省计费模块的功能，支持自动/手动更新，并至少保存新旧两个版本计费模块。计费模块对本省通行车辆进行前序漏收门架路径拟合及计费功能时，当输入信息一致，运算结果应与ETC 省界门架计费模块保持一致，满足车辆计费、收费要求。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4）具备接收、更新全网入出口可达路径最小费额计费服务的功能。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5）OBU 拆卸车辆、ETC 读卡失败、卡签超过有效期、ETC 卡内无入口信息、卡签入口信息不一致、卡签车牌不一致、EF04 文件第315-317 字节不为“0xAA 0x29 0x00”、第375 字节（通行省份个数）为0、储值卡余额小于扣费显示金额的、追缴名单或ETC 状态名单内的、ETC 卡复合消费返回失败等ETC 车辆，进行特情处理时，可通过收费站系统将通行信息与ETC 异常交易信息进行合并，形成完整门架计费扣费交易数据（如承载门架功能）及出口站通行数据、车牌识别数据。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6）具备MTC 特情车辆处理功能，包括CPC 中无入口信息或发行归属地异常、无通行介质或CPC 卡内入口信息无效、CPC 卡内车牌信息、车型信息/轴数信息与实际车辆不一致的、CPC 卡内各省省界路径信息和计费信息不完整、计费金额低于入出口可达路径最小费额或超过1.5 倍的、入口时间超出当前时间7 个自然日的，请求省/部中心后台计费服务进行路径还原及通行费计算。</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7）纸券车辆通行时，记录纸券券号及入口站信息后，根据实际车牌号码、车牌颜色、车型/轴数通过省中心请求部级计费服务获取车辆入口信息、计费信息后，收取通行费。</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8）保留称重检测设备的ETC/MTC 出口混合车道应具备称重复查功能，根据《高速公路称重检测业务规范和技术要求》生成出口称重检测数据并上传至收费站，并在出口交易数据中记录出口车货总重、轴数、车种等信息。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9）MTC 车辆完成收费后，出现需要补收或退还本次收费差额的，出口车道应具备交易冲正功能，收费员进行交易冲正操作，回收收费凭证并按实际应收通行费重新交易，生成出口站交易数据并重新打印收费凭证。</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10）持CPC 卡车辆通行的，收费完成后应具备清除CPC 卡内过站信息及计费信息的功能，其中EF02 过站信息文件第1-101 字节写入0x00，EF04 计费信息第1-506 字节写入0x00。</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11）可支持多种支付方式完成MTC 车辆收费。</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12）出口复检，出口称重检测数据和出口称重图像数据等治超数据管理及上传。</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4、入口自助发卡车道软件功能要求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自助发卡车道自助取卡通行，同时支持ETC车辆自动通行。发卡设备在出现异常或驾乘人员需要进行求助时，按面板求助按钮后，管理端可实时获取到该车道语音对讲和视频监控画面，并能实时查看到卡机系统界面且进行远程控制。</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自助发卡系统功能包括入口治超判定、入口车型判定、货车轴数判定、入口车牌识别结果正确性校验、自助发卡人机交互功能、自助发卡控制流程、CPC卡写卡操作、CPC卡坏卡自动回收、车道系统通行模式自动切换、特情事件远程控制处理功能等，还具备超长车辆处理、车辆信息异常情况处理、状态名单车辆拦截、ETC状态名单车辆拦截等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1）入口治超判定：实现货车和专项作业车入口超限判定，对超限车辆进行拦截并记录，生成超限流水，超限判定规则满足部中心和本省超限判定业务规则。</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2）入口车型判定：通过车型识别设备和省中心车型库系统双向验证，确认入口车型准确性。</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3）入口车种、轴型判定：通过称重设备和车型识别设备判定入口车种、轴数的准确性。</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4）入口车牌校验：通过部中心车牌校验规则，验证车牌识别结果准确性，对于无法识别车牌、无车牌车辆通过人工或远程处理。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5）人机交互：自助发卡系统满足自助发卡、坏卡校验等操作，实现自助领卡操作要求。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6）车道系统模式切换：车道系统支持ETC车辆快速通行，自助领卡通行，人工发卡通行模式自动切换，实现自助缴费快速通行。</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7）特情事件处理：车道系统发生车牌、车型、车种、轴数等车辆信息异常时，车道系统报警，收费人员通过人工或远程控制处理特情，快速解决异常。</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5、出口自助缴费车道软件功能要求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自助缴费系统功能包括出口车型判定、车牌正确性校验、自助收卡人机交互、自助刷卡人机交互、精准计费、自助支付交互、车道运行模式切换机制、特情车辆远程控制交互、特殊车辆专有流程交互方式。从而达到自助缴费现场管理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1）具备自动识别ETC车辆的功能。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2）支持双片式OBU、单片式OBU交易，进行扣费处理，并清除入口信息。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3）判断ETC车载设备有效性、ETC业务有效性，判断结果为无效时系统应置于车辆拦截状态，并转人工处理。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4）支持对正常CPC卡车辆计算、收取通行费，并清除CPC卡内入口信息、过站信息、计费信息，完成CPC卡回收处理。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精准计费。具备介质计费、在线计费和最小费额计费能力。车道系统获通行介质信息，对介质内入口信息、计费信息、路径信息等进行校验，调用在线计费进行计费信息比对，验证计费信息准确性后，显示计费信息，收取通行费额。</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具备特情自动报警或请求远程特情处置的功能。车道系统发生车牌、车型、车种、轴数等车辆信息异常时，入出口信息不一致，介质异常、计费信息异常、路径信息异常等车道系统报警，收费人员通过人工或远程控制处理特情，快速解决异常。</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7）具备从上级系统接收收费参数及向上级系统上传收费数据的功能。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8）支持ETC用户卡、移动支付等支付方式。具备与移动终端进行数据交互，完成扣费交易的能力。</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9）具备对车道连接状态、参数状态和关键设施状态进行监测，生成运行监测数据的功能。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10）具备车牌自动识别、人工输入/校正车牌（含临时车牌）功能。</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6、应急收费软件功能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（1）应急收费终端基础功能满足以下要求：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1）DSRC读写功能，系统通过DSRC读写模块与OBU标签交互，实现OBU标签读写操作。</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2）IC卡读写功能，系统通过IC卡读写模块与卡片交互，实现CPC卡、ETC卡的读写操作。</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3）内置蓝牙/4G/WIFI功能，通过蓝牙模块与蓝牙打印机；通过wifi收费系统后台连接，实现数据上传与下载；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4）内置OCR功能，具有高清摄像头，实现高清图像拍摄，具有OCR识别模块，可识别图像中车牌信息。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（2）应急收费软件具备以下功能：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1）采集识别车牌图像、CPC卡、OBU标签等通行介质信息；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2）支持ETC车辆有效性校验、车辆名单验证、ETC车辆入口信息写入、非ETC车辆 CPC 卡入口写入以及ETC 车辆入口信息清除等功能；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3）支持 ETC 车辆及持 CPC 卡、持纸质通行券、无通行介质车辆的移动便携缴费；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4）支持现金、ETC卡、手机移动支付等多种支付；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5）支持连接蓝牙打印机，打印通行费凭证功能；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6）支持车辆查验，并应兼容目前超限超载车辆查验、绿通查验等相关 APP使用。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7）支持车道外设的控制，根据收费站系统或省级联网收费管理中心移动支付平台返回的交易消息以及智能移动服务终端与各类车道机电设备的协议，实现对车道设备的控制。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8）支持具备路径地图查看，在调用特情在线计费后，应支持全程路径地图查看，实现通行路径可视化展示。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9）支持数据共享，与自助/ETC 混合车道、MTC/ETC 混合车道、匝道自由流预交易设施、邻近的ETC 门架系统等共享交易数据。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10）自动检测新版本、手动一键升级。</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11）支持绿通车辆、特情车辆业务处理功能。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（3）应急收费软件站级转发服务具备以下功能：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1）与应急收费系统业务交互，接收应急收费系统各项请求，返回请求结果，请求内容包括：用户登录验证、计费请求、PSAM卡授权、校时、工班数据和交易流水数据上传等；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2）与站级PSAM授权系统交互：完成手持机的PSAM卡签到、授权操作；</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3）与站级授时系统交互：完成手持机系统时间校验和更新；</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4）与站级收费服务交互：与站级收费系统多车道数据共享；接收手持机交易流水数据、工班数据，保存至站级收费数据库中，获取预交易流水信息等。</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7、特情处理软件功能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上下班功能：实现特情处置人员上下班管理。主要有上班、暂离、下班三种状态。上班：系统开始接收车道交易异常任务信息；暂离：不接收车道交易异常任务信息；下班：退出系统，收费业务员登录系统后，默认暂离状态。</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2）交接班功能：支持用户登录、上下班操作，对于有交接班事项的时候，可通过上下班操作界面录入，交班人员进行确认。</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3）特情报警分发功能：当车道发生通行特情时，特情处理系统自动将任务推送至特情远程处理座席，实现特情任务智能分发功能。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4）车辆特情处理功能：系统将特情类型、车辆信息等数据通过事件弹框展示给座席收费人员，收费员核实车辆信息，通行信息，对特情事件进行处理。系统将处理结果数据反馈至前端车道系统。</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5）车道视频语音对讲功能：在处理收费特情时，实现车道视频画面和语音通话功能。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6）任务统计查询功能：收费员根据时间条件，查询工作记录情况，显示任务处理次数、收费数据统计等。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7）电子值机模块</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值机人员的手工台账进行电子化，并可以对收费现场的特情车辆的相关信息进行自动生成和核实录入，避免了人为的疏忽，保证了收费中特情车辆值机的科学化、客观化、精准化。同时值机记录会同步到智能稽查系统中进行关联稽查以及上传到中心平台，供中心特情车管理系统对数据进行分析、考核和管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8）智能稽查模块</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进行特情车辆值机记录的审核。通过查看收费数据、收费图片、收费视频相关联的值机记录，稽查人员可以核实特情车辆的收费操作是否符合相关章程、是否存在逃费的可能行，值机人员的记录是否规范、是否做到了详细、客观的记录与监督。并最终对特情车辆的收费与值机工作成果生成稽查结果以供留档和中心查验。</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9）授权管理模块</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车道出现所有特情车辆进行收费授权，并将授权的结果与电子值机记录相结合，从而达到减少值机人员工作量的目的，同时授权结果以全网统一的数据格式存储，并实时上传到中心平台，供特情车管理系统进行分析、考核和管理。</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8、车道运行监测</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可实现收费站监测信息采集服务、通行费及流量监测、收费车道设备运行状态监测、收费车道系统资源监测、收费车道系统及参数版本监测、车牌识别成功率监测、车辆信息获取率监测等。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1）具备通过对外发布的收费站监测信息采集服务，获取监测对象的监测数据，并调用接口传递监测数据，同时采集服务也将数据上报到上级系统。</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2）具备收费站车道系统通行费与流量监测功能，以便实时掌握收费道口车辆通行数据和收费数据，同时系统自动按财务日和自然日生成收费和流量统计数据，以便进行宏观的数据统计分析。</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3）具备车道设备工作状态监测功能，监测的设备包括：RSU天线、车牌识别设备、栏杆机、费显、车道摄像机、通行信号灯。当监测设备出现异常时，用户可以对事件进行预警处理。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4）具备车道资源监测功能，监测的资源包括：工控机关键资源使用率。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具备车道系统版本、参数版本、限制名单版本监测模块，该功能模块主要通过比对车道与收费站的版本差异，及时发现过期的收费参数、限制名单以及收费程序，当车道出现版本差异后进行告警，并可以通过人工干预进行版本更新。</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6）具备车牌识别成功率分析功能，该功能通过对车牌识别率进行分析，评估车牌识别器的可靠性，并结合各种因素有利于改善识别率，为收费提供可靠的依据。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7）具备车辆信息获取率分析功能，该功能通过对RSU车辆获取率进行分析，评估RSU的可靠性，并结合各种因素有利于改善RSU工作效率，为收费提供可靠的依据。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8）具备传输监测功能，实现机房至广场网络传输状态监测，同时该功能针对传输系统运行状态和数据传输情况数据积压量进行监测，实现出现异常时进行告警。</w:t>
      </w:r>
    </w:p>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Pr>
        <w:pStyle w:val="3"/>
        <w:spacing w:after="48" w:line="360" w:lineRule="auto"/>
        <w:ind w:firstLine="504"/>
        <w:rPr>
          <w:rFonts w:cs="宋体" w:asciiTheme="minorEastAsia" w:hAnsiTheme="minorEastAsia" w:eastAsiaTheme="minorEastAsia"/>
          <w:color w:val="auto"/>
          <w:sz w:val="24"/>
          <w:szCs w:val="24"/>
        </w:rPr>
      </w:pPr>
      <w:bookmarkStart w:id="217" w:name="_Toc339459050"/>
      <w:bookmarkStart w:id="218" w:name="_Toc339451646"/>
      <w:bookmarkStart w:id="219" w:name="_Toc485612835"/>
      <w:bookmarkStart w:id="220" w:name="_Toc400804563"/>
      <w:bookmarkStart w:id="221" w:name="_Toc5188542"/>
      <w:bookmarkStart w:id="222" w:name="_Toc82857104"/>
      <w:bookmarkStart w:id="223" w:name="_Toc487343048"/>
      <w:bookmarkStart w:id="224" w:name="_Toc344132854"/>
      <w:bookmarkStart w:id="225" w:name="_Toc487343218"/>
      <w:bookmarkStart w:id="226" w:name="_Toc5188619"/>
      <w:bookmarkStart w:id="227" w:name="_Toc485609670"/>
      <w:bookmarkStart w:id="228" w:name="_Toc485975221"/>
      <w:bookmarkStart w:id="229" w:name="_Toc341344962"/>
      <w:bookmarkStart w:id="230" w:name="_Toc490905785"/>
      <w:bookmarkStart w:id="231" w:name="_Toc340840425"/>
      <w:bookmarkStart w:id="232" w:name="_Toc487614669"/>
      <w:bookmarkStart w:id="233" w:name="_Toc339457304"/>
      <w:bookmarkStart w:id="234" w:name="_Toc491251640"/>
      <w:bookmarkStart w:id="235" w:name="_Toc5188773"/>
      <w:bookmarkStart w:id="236" w:name="_Toc490906083"/>
      <w:bookmarkStart w:id="237" w:name="_Toc491251299"/>
      <w:bookmarkStart w:id="238" w:name="_Toc340841608"/>
      <w:bookmarkStart w:id="239" w:name="_Toc487529299"/>
      <w:bookmarkStart w:id="240" w:name="_Toc489177981"/>
      <w:r>
        <w:rPr>
          <w:rFonts w:hint="eastAsia" w:cs="宋体" w:asciiTheme="minorEastAsia" w:hAnsiTheme="minorEastAsia" w:eastAsiaTheme="minorEastAsia"/>
          <w:color w:val="auto"/>
          <w:sz w:val="24"/>
          <w:szCs w:val="24"/>
        </w:rPr>
        <w:t>TS402.7 收费站主要设备技术要求</w:t>
      </w:r>
    </w:p>
    <w:p>
      <w:pPr>
        <w:pStyle w:val="7"/>
        <w:ind w:firstLine="504"/>
        <w:rPr>
          <w:color w:val="auto"/>
        </w:rPr>
      </w:pPr>
      <w:r>
        <w:rPr>
          <w:rFonts w:hint="eastAsia"/>
          <w:color w:val="auto"/>
        </w:rPr>
        <w:t>TS402.7.1超融合服务器</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CPU处理器：≥6颗Intel Xeon (2.1GHz_24C)；</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内存：本次配置内存容量：≥1536G ECC DDR4；</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系统盘：≥6块480G SSD（用于安装服务器操作系统）；</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缓存盘：≥6块3.84T NVME硬盘；</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数据盘：≥24块12T SATA硬盘；</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网口：≥12个千兆网口；≥12个万兆光口（并配置12个万兆多模光模块）；</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raid卡：同时支持RAID和JBOD；</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电源:配置冗余电源；</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包含6颗物理CPU正式永久授权，裸存储容量288TB；</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支持创建、删除、开启、停止、暂停虚拟机等虚拟机生命周期管理操作、虚拟机性能监控，支持批量修改虚拟机的配置参数；</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支持动态资源调度，支持以集群为单位监控物理机CPU或内存负载情况；</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支持全局设置云主机防欺诈模式，阻止用户非法修改IP地址和MAC地址后发出的数据包；</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分布式块存储功能，支持线性扩展，随着系统规模（节点数量）的增加，系统性能和容量线性提升，支持在线扩展，可在不中断业务的情况下进行扩容，允许用户设置副本数量，可设副本数不少于2，最多支持副本数不少于6；</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云平台断电自恢复能力，物理服务器在异常断电并加电开机恢复电源后，所有云平台服务能够自动恢复正常，并对外提供服务。支持平台在一台服务器出现问题的情况下，剩余两台设备还能正常提供业务，待问题服务器修复以后，也能够平稳恢复，不对业务造成影响。</w:t>
      </w:r>
    </w:p>
    <w:p>
      <w:pPr>
        <w:pStyle w:val="7"/>
        <w:ind w:firstLine="504"/>
        <w:rPr>
          <w:color w:val="auto"/>
        </w:rPr>
      </w:pPr>
      <w:r>
        <w:rPr>
          <w:rFonts w:hint="eastAsia"/>
          <w:color w:val="auto"/>
        </w:rPr>
        <w:t>TS402.7.2视频服务器</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支持主流的Windows Server 和Linux Server系统；</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双路</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至强</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可扩展处理器，主频≥2.0Ghz，每颗 CPU核心数≥20；</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内存≥256GB，支持24个内存插槽；</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2</w:t>
      </w:r>
      <w:r>
        <w:rPr>
          <w:rFonts w:hint="eastAsia" w:asciiTheme="minorEastAsia" w:hAnsiTheme="minorEastAsia" w:eastAsiaTheme="minorEastAsia"/>
          <w:color w:val="auto"/>
          <w:sz w:val="24"/>
          <w:szCs w:val="24"/>
        </w:rPr>
        <w:t>块≥4</w:t>
      </w:r>
      <w:r>
        <w:rPr>
          <w:rFonts w:asciiTheme="minorEastAsia" w:hAnsiTheme="minorEastAsia" w:eastAsiaTheme="minorEastAsia"/>
          <w:color w:val="auto"/>
          <w:sz w:val="24"/>
          <w:szCs w:val="24"/>
        </w:rPr>
        <w:t>80</w:t>
      </w:r>
      <w:r>
        <w:rPr>
          <w:rFonts w:hint="eastAsia" w:asciiTheme="minorEastAsia" w:hAnsiTheme="minorEastAsia" w:eastAsiaTheme="minorEastAsia"/>
          <w:color w:val="auto"/>
          <w:sz w:val="24"/>
          <w:szCs w:val="24"/>
        </w:rPr>
        <w:t>G</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SSD，8块8T硬盘，</w:t>
      </w:r>
      <w:r>
        <w:rPr>
          <w:rFonts w:asciiTheme="minorEastAsia" w:hAnsiTheme="minorEastAsia" w:eastAsiaTheme="minorEastAsia"/>
          <w:color w:val="auto"/>
          <w:sz w:val="24"/>
          <w:szCs w:val="24"/>
        </w:rPr>
        <w:t>4</w:t>
      </w:r>
      <w:r>
        <w:rPr>
          <w:rFonts w:hint="eastAsia" w:asciiTheme="minorEastAsia" w:hAnsiTheme="minorEastAsia" w:eastAsiaTheme="minorEastAsia"/>
          <w:color w:val="auto"/>
          <w:sz w:val="24"/>
          <w:szCs w:val="24"/>
        </w:rPr>
        <w:t>G Flash Raid卡支持RAID0/1/5；</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双口万兆光口（含</w:t>
      </w:r>
      <w:r>
        <w:rPr>
          <w:rFonts w:asciiTheme="minorEastAsia" w:hAnsiTheme="minorEastAsia" w:eastAsiaTheme="minorEastAsia"/>
          <w:color w:val="auto"/>
          <w:sz w:val="24"/>
          <w:szCs w:val="24"/>
        </w:rPr>
        <w:t>2</w:t>
      </w:r>
      <w:r>
        <w:rPr>
          <w:rFonts w:hint="eastAsia" w:asciiTheme="minorEastAsia" w:hAnsiTheme="minorEastAsia" w:eastAsiaTheme="minorEastAsia"/>
          <w:color w:val="auto"/>
          <w:sz w:val="24"/>
          <w:szCs w:val="24"/>
        </w:rPr>
        <w:t>个万兆单模光模块），</w:t>
      </w:r>
      <w:r>
        <w:rPr>
          <w:rFonts w:asciiTheme="minorEastAsia" w:hAnsiTheme="minorEastAsia" w:eastAsiaTheme="minorEastAsia"/>
          <w:color w:val="auto"/>
          <w:sz w:val="24"/>
          <w:szCs w:val="24"/>
        </w:rPr>
        <w:t>4</w:t>
      </w:r>
      <w:r>
        <w:rPr>
          <w:rFonts w:hint="eastAsia" w:asciiTheme="minorEastAsia" w:hAnsiTheme="minorEastAsia" w:eastAsiaTheme="minorEastAsia"/>
          <w:color w:val="auto"/>
          <w:sz w:val="24"/>
          <w:szCs w:val="24"/>
        </w:rPr>
        <w:t>个千兆电口；</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冗余电源。</w:t>
      </w:r>
    </w:p>
    <w:p>
      <w:pPr>
        <w:pStyle w:val="7"/>
        <w:ind w:firstLine="504"/>
        <w:rPr>
          <w:color w:val="auto"/>
        </w:rPr>
      </w:pPr>
      <w:r>
        <w:rPr>
          <w:rFonts w:hint="eastAsia"/>
          <w:color w:val="auto"/>
        </w:rPr>
        <w:t>TS402.7.3 KVM切换机</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具备8路切换显示及控制功能，17寸显示屏；</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产品接口：USB*2、PS2口*2；</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键盘设备：带数字小键盘的标准键盘，含鼠标触控板；</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切换方式：OSD菜单、按键切换.</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安装方式：标准机架安装</w:t>
      </w:r>
    </w:p>
    <w:p>
      <w:pPr>
        <w:pStyle w:val="7"/>
        <w:ind w:firstLine="504"/>
        <w:rPr>
          <w:color w:val="auto"/>
        </w:rPr>
      </w:pPr>
      <w:r>
        <w:rPr>
          <w:rFonts w:hint="eastAsia"/>
          <w:color w:val="auto"/>
        </w:rPr>
        <w:t>TS403.7.4收费管理计算机、图像管理计算机、CPC卡管理计算机、财务管理计算机</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处理器:Intel 酷睿≥ i7 12700；</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内存类型:DDR4—内存大小:16GB；</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硬盘:不低于512GB固态+1TB机械硬盘；</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32寸曲面显示器，分辨率不低于2560*1080，高清接口</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显卡：不低于 8GB显存，HDMI高清接口；</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标准键盘、鼠标、HDMI显示连接。</w:t>
      </w:r>
    </w:p>
    <w:p>
      <w:pPr>
        <w:pStyle w:val="7"/>
        <w:ind w:firstLine="504"/>
        <w:rPr>
          <w:color w:val="auto"/>
        </w:rPr>
      </w:pPr>
      <w:r>
        <w:rPr>
          <w:rFonts w:hint="eastAsia"/>
          <w:color w:val="auto"/>
        </w:rPr>
        <w:t>TS402.7.5 A4激光打印机</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黑白激光打印机；</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幅面：A4；</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速度：≥11 ppm；</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打印质量≥ 600 x 600 dpi ；</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接口：至少1 个 USB 端口。</w:t>
      </w:r>
    </w:p>
    <w:p>
      <w:pPr>
        <w:pStyle w:val="7"/>
        <w:ind w:firstLine="504"/>
        <w:rPr>
          <w:color w:val="auto"/>
        </w:rPr>
      </w:pPr>
      <w:r>
        <w:rPr>
          <w:rFonts w:hint="eastAsia"/>
          <w:color w:val="auto"/>
        </w:rPr>
        <w:t>TS402.7.6 A3激光打印机</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黑白激光打印机；</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幅面：A3；</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打印速度：≥35ppm；</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打印质量：1200×1200dpi；</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内存：64M；</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接口：1个IEEE1284并行端口、1个USB端口、1个JDI 10/100端口。</w:t>
      </w:r>
    </w:p>
    <w:p>
      <w:pPr>
        <w:pStyle w:val="7"/>
        <w:ind w:firstLine="504"/>
        <w:rPr>
          <w:color w:val="auto"/>
        </w:rPr>
      </w:pPr>
      <w:r>
        <w:rPr>
          <w:rFonts w:hint="eastAsia"/>
          <w:color w:val="auto"/>
        </w:rPr>
        <w:t>TS402.7.7</w:t>
      </w:r>
      <w:r>
        <w:rPr>
          <w:color w:val="auto"/>
        </w:rPr>
        <w:t xml:space="preserve"> </w:t>
      </w:r>
      <w:r>
        <w:rPr>
          <w:rFonts w:hint="eastAsia"/>
          <w:color w:val="auto"/>
        </w:rPr>
        <w:t>CPC卡 读写器</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工作频率：13.56MHz；</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读写误码率：＜10</w:t>
      </w:r>
      <w:r>
        <w:rPr>
          <w:rFonts w:hint="eastAsia" w:asciiTheme="minorEastAsia" w:hAnsiTheme="minorEastAsia" w:eastAsiaTheme="minorEastAsia"/>
          <w:color w:val="auto"/>
          <w:sz w:val="24"/>
          <w:szCs w:val="24"/>
          <w:vertAlign w:val="superscript"/>
        </w:rPr>
        <w:t>-6</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读写距离：0～100mm；</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采用SM4加密算法和随机函数相结合的技术手段完成卡和读写器间的双向识别；</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RS232接口与车道控制器连接；</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MTBF大于20000小时，MTTR小于0.5小时；</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环境温度：-40℃ ～+50℃；</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环境湿度：20%～80%；</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电源AC220V±10%  50Hz±3Hz。</w:t>
      </w:r>
    </w:p>
    <w:p>
      <w:pPr>
        <w:pStyle w:val="7"/>
        <w:ind w:firstLine="504"/>
        <w:rPr>
          <w:color w:val="auto"/>
        </w:rPr>
      </w:pPr>
      <w:r>
        <w:rPr>
          <w:rFonts w:hint="eastAsia"/>
          <w:color w:val="auto"/>
        </w:rPr>
        <w:t>TS402.7.8 核心交换机</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交换容量不小于1.28Tbps，包转发速率不小于266Mpps；</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至少24个10/100/1000M Base-T端口，12个SFP万兆以太网光口（含12个光模块）；</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支持IGMP Snooping，IGMP，组播VLAN等组播协议；</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支持VLAN功能，支持4K个符合IEEE 802.1Q标准的VLAN，支持基于端口的VLAN和基于协议的VLAN；</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支持全双工，支持IEEE 802.3x流控（全双工），支持背压式流控（半双工）；</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支持IPv4和IPv6的三层路由功能；</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 MAC地址表：支持MAC地址自动学，IEEE 802.1D标准，支持静态MAC地址；</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支持流量控制（Flow Control），支持服务质量（QoS），生成树协议支持，广播风暴控制，802.1x认证支持，支持端口汇聚，镜像支持等；</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支持DHCP Server、DHCPv6 Server、SAVI功能，支持BFD FOR VRRP、RRPP、PVST功能</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配置两个模块化可插拔交流电源；</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工作温度：-5℃～45℃；</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工作湿度：5％～95％。</w:t>
      </w:r>
    </w:p>
    <w:p>
      <w:pPr>
        <w:pStyle w:val="7"/>
        <w:ind w:firstLine="504"/>
        <w:rPr>
          <w:b w:val="0"/>
          <w:color w:val="auto"/>
        </w:rPr>
      </w:pPr>
      <w:r>
        <w:rPr>
          <w:rFonts w:hint="eastAsia"/>
          <w:color w:val="auto"/>
        </w:rPr>
        <w:t>TS402.7.9保险箱</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箱体材质：低碳合金钢;</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开锁方式：密码，指纹，钥匙；</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应急开启：主钥匙+应急钥匙；</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门闩数量：≥6根；门板厚度：≥6mm；</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外部尺寸：≥W480mm*D420mm*H800mm；</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有无内箱：有。</w:t>
      </w:r>
    </w:p>
    <w:p>
      <w:pPr>
        <w:pStyle w:val="7"/>
        <w:ind w:firstLine="504"/>
        <w:rPr>
          <w:color w:val="auto"/>
        </w:rPr>
      </w:pPr>
      <w:r>
        <w:rPr>
          <w:rFonts w:hint="eastAsia"/>
          <w:color w:val="auto"/>
        </w:rPr>
        <w:t>TS402.7.10北斗授时</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BD2-B1、GPS-L1</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定位、授时；</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支持标准的NTP、SNTP</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等网络对时协议；</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DC6-24V </w:t>
      </w:r>
      <w:r>
        <w:rPr>
          <w:rFonts w:hint="eastAsia" w:asciiTheme="minorEastAsia" w:hAnsiTheme="minorEastAsia" w:eastAsiaTheme="minorEastAsia"/>
          <w:color w:val="auto"/>
          <w:sz w:val="24"/>
          <w:szCs w:val="24"/>
        </w:rPr>
        <w:t>供电；</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捕获灵敏度：≤-148dBm；</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通道数：99个捕获通道，33个跟踪通道；</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PPS </w:t>
      </w:r>
      <w:r>
        <w:rPr>
          <w:rFonts w:hint="eastAsia" w:asciiTheme="minorEastAsia" w:hAnsiTheme="minorEastAsia" w:eastAsiaTheme="minorEastAsia"/>
          <w:color w:val="auto"/>
          <w:sz w:val="24"/>
          <w:szCs w:val="24"/>
        </w:rPr>
        <w:t>授时精度：≤1us；</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授时精度：≤1s（卫星失锁24</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小时内）；</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NTP </w:t>
      </w:r>
      <w:r>
        <w:rPr>
          <w:rFonts w:hint="eastAsia" w:asciiTheme="minorEastAsia" w:hAnsiTheme="minorEastAsia" w:eastAsiaTheme="minorEastAsia"/>
          <w:color w:val="auto"/>
          <w:sz w:val="24"/>
          <w:szCs w:val="24"/>
        </w:rPr>
        <w:t>授时精度：1～10ms。</w:t>
      </w:r>
    </w:p>
    <w:p>
      <w:pPr>
        <w:pStyle w:val="7"/>
        <w:ind w:firstLine="504"/>
        <w:rPr>
          <w:color w:val="auto"/>
        </w:rPr>
      </w:pPr>
      <w:r>
        <w:rPr>
          <w:rFonts w:hint="eastAsia"/>
          <w:color w:val="auto"/>
        </w:rPr>
        <w:t>TS402.7.11机柜</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19”标准网络机柜；</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机柜尺寸：设备机柜H2000*W600*D800mm、服务器机柜H2000*W600*D1000mm、广场小机柜H1200*W600*D600mm。</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材料为A3冷轧钢板，服务器机柜立柱厚为2mm。其余机柜立柱厚为1.5mm。</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顶侧要求装低噪音排热风扇。</w:t>
      </w:r>
    </w:p>
    <w:p>
      <w:pPr>
        <w:pStyle w:val="7"/>
        <w:ind w:firstLine="504"/>
        <w:rPr>
          <w:color w:val="auto"/>
        </w:rPr>
      </w:pPr>
      <w:r>
        <w:rPr>
          <w:rFonts w:hint="eastAsia"/>
          <w:color w:val="auto"/>
        </w:rPr>
        <w:t>TS402.7.12收费站操作台</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操作台安装在收费站监控机房内，单个操作台面长1.2m，高宽度1.1m（含隔断），宽0.6m。</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操作台采用E1级环保板材，25mm厚面板，结合烤漆钢架整体稳固，受力均匀。</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操作台上设备布置与安装保证合理、牢固、便于值班员操作，连接线路尽量不外露。</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操作台颜色加工前应该与业主进一步沟通；</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每套操作台配备4把人体工学活动座椅(含腰托、扶手升降、座椅及椅背调节等）。</w:t>
      </w:r>
    </w:p>
    <w:p>
      <w:pPr>
        <w:pStyle w:val="7"/>
        <w:ind w:firstLine="504"/>
        <w:rPr>
          <w:color w:val="auto"/>
        </w:rPr>
      </w:pPr>
      <w:r>
        <w:rPr>
          <w:rFonts w:hint="eastAsia"/>
          <w:color w:val="auto"/>
        </w:rPr>
        <w:t>TS402.7.13财务室操作台</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操作台安装在收费站财务室内；</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能放置1台计算机和1台打印机；</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操作台长1.2m，宽度1m，高0．8m。</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每套操作台配备1把人体工学活动座椅(含腰托、扶手升降、座椅及椅背调节等）。</w:t>
      </w:r>
    </w:p>
    <w:p>
      <w:pPr>
        <w:pStyle w:val="7"/>
        <w:ind w:firstLine="504"/>
        <w:rPr>
          <w:color w:val="auto"/>
        </w:rPr>
      </w:pPr>
      <w:r>
        <w:rPr>
          <w:rFonts w:hint="eastAsia"/>
          <w:color w:val="auto"/>
        </w:rPr>
        <w:t>TS402.7.14绿通查验终端</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运行内存：应不少于</w:t>
      </w:r>
      <w:r>
        <w:rPr>
          <w:rFonts w:asciiTheme="minorEastAsia" w:hAnsiTheme="minorEastAsia" w:eastAsiaTheme="minorEastAsia"/>
          <w:color w:val="auto"/>
          <w:sz w:val="24"/>
          <w:szCs w:val="24"/>
        </w:rPr>
        <w:t>4GB</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存储容量：应不少于</w:t>
      </w:r>
      <w:r>
        <w:rPr>
          <w:rFonts w:asciiTheme="minorEastAsia" w:hAnsiTheme="minorEastAsia" w:eastAsiaTheme="minorEastAsia"/>
          <w:color w:val="auto"/>
          <w:sz w:val="24"/>
          <w:szCs w:val="24"/>
        </w:rPr>
        <w:t>64GB</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网络支持：应支持</w:t>
      </w:r>
      <w:r>
        <w:rPr>
          <w:rFonts w:asciiTheme="minorEastAsia" w:hAnsiTheme="minorEastAsia" w:eastAsiaTheme="minorEastAsia"/>
          <w:color w:val="auto"/>
          <w:sz w:val="24"/>
          <w:szCs w:val="24"/>
        </w:rPr>
        <w:t>4G</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5G </w:t>
      </w:r>
      <w:r>
        <w:rPr>
          <w:rFonts w:hint="eastAsia" w:asciiTheme="minorEastAsia" w:hAnsiTheme="minorEastAsia" w:eastAsiaTheme="minorEastAsia"/>
          <w:color w:val="auto"/>
          <w:sz w:val="24"/>
          <w:szCs w:val="24"/>
        </w:rPr>
        <w:t>网络，应具备</w:t>
      </w:r>
      <w:r>
        <w:rPr>
          <w:rFonts w:asciiTheme="minorEastAsia" w:hAnsiTheme="minorEastAsia" w:eastAsiaTheme="minorEastAsia"/>
          <w:color w:val="auto"/>
          <w:sz w:val="24"/>
          <w:szCs w:val="24"/>
        </w:rPr>
        <w:t xml:space="preserve">WiFi </w:t>
      </w:r>
      <w:r>
        <w:rPr>
          <w:rFonts w:hint="eastAsia" w:asciiTheme="minorEastAsia" w:hAnsiTheme="minorEastAsia" w:eastAsiaTheme="minorEastAsia"/>
          <w:color w:val="auto"/>
          <w:sz w:val="24"/>
          <w:szCs w:val="24"/>
        </w:rPr>
        <w:t>模块。</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摄像头：像素不低于</w:t>
      </w:r>
      <w:r>
        <w:rPr>
          <w:rFonts w:asciiTheme="minorEastAsia" w:hAnsiTheme="minorEastAsia" w:eastAsiaTheme="minorEastAsia"/>
          <w:color w:val="auto"/>
          <w:sz w:val="24"/>
          <w:szCs w:val="24"/>
        </w:rPr>
        <w:t xml:space="preserve">1200 </w:t>
      </w:r>
      <w:r>
        <w:rPr>
          <w:rFonts w:hint="eastAsia" w:asciiTheme="minorEastAsia" w:hAnsiTheme="minorEastAsia" w:eastAsiaTheme="minorEastAsia"/>
          <w:color w:val="auto"/>
          <w:sz w:val="24"/>
          <w:szCs w:val="24"/>
        </w:rPr>
        <w:t>万，应配置补光灯。</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屏幕：尺寸应不小于</w:t>
      </w:r>
      <w:r>
        <w:rPr>
          <w:rFonts w:asciiTheme="minorEastAsia" w:hAnsiTheme="minorEastAsia" w:eastAsiaTheme="minorEastAsia"/>
          <w:color w:val="auto"/>
          <w:sz w:val="24"/>
          <w:szCs w:val="24"/>
        </w:rPr>
        <w:t xml:space="preserve">5 </w:t>
      </w:r>
      <w:r>
        <w:rPr>
          <w:rFonts w:hint="eastAsia" w:asciiTheme="minorEastAsia" w:hAnsiTheme="minorEastAsia" w:eastAsiaTheme="minorEastAsia"/>
          <w:color w:val="auto"/>
          <w:sz w:val="24"/>
          <w:szCs w:val="24"/>
        </w:rPr>
        <w:t>英寸，分辨率不低于</w:t>
      </w:r>
      <w:r>
        <w:rPr>
          <w:rFonts w:asciiTheme="minorEastAsia" w:hAnsiTheme="minorEastAsia" w:eastAsiaTheme="minorEastAsia"/>
          <w:color w:val="auto"/>
          <w:sz w:val="24"/>
          <w:szCs w:val="24"/>
        </w:rPr>
        <w:t>1280</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720 </w:t>
      </w:r>
      <w:r>
        <w:rPr>
          <w:rFonts w:hint="eastAsia" w:asciiTheme="minorEastAsia" w:hAnsiTheme="minorEastAsia" w:eastAsiaTheme="minorEastAsia"/>
          <w:color w:val="auto"/>
          <w:sz w:val="24"/>
          <w:szCs w:val="24"/>
        </w:rPr>
        <w:t>像素。</w:t>
      </w:r>
    </w:p>
    <w:p>
      <w:pPr>
        <w:pStyle w:val="7"/>
        <w:ind w:firstLine="504"/>
        <w:rPr>
          <w:color w:val="auto"/>
        </w:rPr>
      </w:pPr>
      <w:r>
        <w:rPr>
          <w:rFonts w:hint="eastAsia"/>
          <w:color w:val="auto"/>
        </w:rPr>
        <w:t>TS402.7.15 PSAM在线授权终端</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1）设备 </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1U </w:t>
      </w:r>
      <w:r>
        <w:rPr>
          <w:rFonts w:hint="eastAsia" w:asciiTheme="minorEastAsia" w:hAnsiTheme="minorEastAsia" w:eastAsiaTheme="minorEastAsia"/>
          <w:color w:val="auto"/>
          <w:sz w:val="24"/>
          <w:szCs w:val="24"/>
        </w:rPr>
        <w:t>标准机架式硬件产品，提供机架安装套件；</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CPU </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 2</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4 </w:t>
      </w:r>
      <w:r>
        <w:rPr>
          <w:rFonts w:hint="eastAsia" w:asciiTheme="minorEastAsia" w:hAnsiTheme="minorEastAsia" w:eastAsiaTheme="minorEastAsia"/>
          <w:color w:val="auto"/>
          <w:sz w:val="24"/>
          <w:szCs w:val="24"/>
        </w:rPr>
        <w:t>核，主频</w:t>
      </w:r>
      <w:r>
        <w:rPr>
          <w:rFonts w:asciiTheme="minorEastAsia" w:hAnsiTheme="minorEastAsia" w:eastAsiaTheme="minorEastAsia"/>
          <w:color w:val="auto"/>
          <w:sz w:val="24"/>
          <w:szCs w:val="24"/>
        </w:rPr>
        <w:t>2.0GHz</w:t>
      </w:r>
      <w:r>
        <w:rPr>
          <w:rFonts w:hint="eastAsia" w:asciiTheme="minorEastAsia" w:hAnsiTheme="minorEastAsia" w:eastAsiaTheme="minorEastAsia"/>
          <w:color w:val="auto"/>
          <w:sz w:val="24"/>
          <w:szCs w:val="24"/>
        </w:rPr>
        <w:t>），板载内存</w:t>
      </w:r>
      <w:r>
        <w:rPr>
          <w:rFonts w:asciiTheme="minorEastAsia" w:hAnsiTheme="minorEastAsia" w:eastAsiaTheme="minorEastAsia"/>
          <w:color w:val="auto"/>
          <w:sz w:val="24"/>
          <w:szCs w:val="24"/>
        </w:rPr>
        <w:t>8G DDR4 ECC</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 2</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SSD </w:t>
      </w:r>
      <w:r>
        <w:rPr>
          <w:rFonts w:hint="eastAsia" w:asciiTheme="minorEastAsia" w:hAnsiTheme="minorEastAsia" w:eastAsiaTheme="minorEastAsia"/>
          <w:color w:val="auto"/>
          <w:sz w:val="24"/>
          <w:szCs w:val="24"/>
        </w:rPr>
        <w:t>硬盘</w:t>
      </w:r>
      <w:r>
        <w:rPr>
          <w:rFonts w:asciiTheme="minorEastAsia" w:hAnsiTheme="minorEastAsia" w:eastAsiaTheme="minorEastAsia"/>
          <w:color w:val="auto"/>
          <w:sz w:val="24"/>
          <w:szCs w:val="24"/>
        </w:rPr>
        <w:t xml:space="preserve">500G </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 2</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w:t>
      </w:r>
      <w:r>
        <w:rPr>
          <w:rFonts w:asciiTheme="minorEastAsia" w:hAnsiTheme="minorEastAsia" w:eastAsiaTheme="minorEastAsia"/>
          <w:color w:val="auto"/>
          <w:sz w:val="24"/>
          <w:szCs w:val="24"/>
        </w:rPr>
        <w:t xml:space="preserve">3 </w:t>
      </w:r>
      <w:r>
        <w:rPr>
          <w:rFonts w:hint="eastAsia" w:asciiTheme="minorEastAsia" w:hAnsiTheme="minorEastAsia" w:eastAsiaTheme="minorEastAsia"/>
          <w:color w:val="auto"/>
          <w:sz w:val="24"/>
          <w:szCs w:val="24"/>
        </w:rPr>
        <w:t>个千兆以太网口（</w:t>
      </w:r>
      <w:r>
        <w:rPr>
          <w:rFonts w:asciiTheme="minorEastAsia" w:hAnsiTheme="minorEastAsia" w:eastAsiaTheme="minorEastAsia"/>
          <w:color w:val="auto"/>
          <w:sz w:val="24"/>
          <w:szCs w:val="24"/>
        </w:rPr>
        <w:t xml:space="preserve">RJ45 </w:t>
      </w:r>
      <w:r>
        <w:rPr>
          <w:rFonts w:hint="eastAsia" w:asciiTheme="minorEastAsia" w:hAnsiTheme="minorEastAsia" w:eastAsiaTheme="minorEastAsia"/>
          <w:color w:val="auto"/>
          <w:sz w:val="24"/>
          <w:szCs w:val="24"/>
        </w:rPr>
        <w:t>接口）；</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配置全网通</w:t>
      </w:r>
      <w:r>
        <w:rPr>
          <w:rFonts w:asciiTheme="minorEastAsia" w:hAnsiTheme="minorEastAsia" w:eastAsiaTheme="minorEastAsia"/>
          <w:color w:val="auto"/>
          <w:sz w:val="24"/>
          <w:szCs w:val="24"/>
        </w:rPr>
        <w:t xml:space="preserve">4G </w:t>
      </w:r>
      <w:r>
        <w:rPr>
          <w:rFonts w:hint="eastAsia" w:asciiTheme="minorEastAsia" w:hAnsiTheme="minorEastAsia" w:eastAsiaTheme="minorEastAsia"/>
          <w:color w:val="auto"/>
          <w:sz w:val="24"/>
          <w:szCs w:val="24"/>
        </w:rPr>
        <w:t>通信模块，支持</w:t>
      </w:r>
      <w:r>
        <w:rPr>
          <w:rFonts w:asciiTheme="minorEastAsia" w:hAnsiTheme="minorEastAsia" w:eastAsiaTheme="minorEastAsia"/>
          <w:color w:val="auto"/>
          <w:sz w:val="24"/>
          <w:szCs w:val="24"/>
        </w:rPr>
        <w:t xml:space="preserve">VPDN </w:t>
      </w:r>
      <w:r>
        <w:rPr>
          <w:rFonts w:hint="eastAsia" w:asciiTheme="minorEastAsia" w:hAnsiTheme="minorEastAsia" w:eastAsiaTheme="minorEastAsia"/>
          <w:color w:val="auto"/>
          <w:sz w:val="24"/>
          <w:szCs w:val="24"/>
        </w:rPr>
        <w:t>通信模式；</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具备面板指示灯和故障告警显示屏；</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提供</w:t>
      </w:r>
      <w:r>
        <w:rPr>
          <w:rFonts w:asciiTheme="minorEastAsia" w:hAnsiTheme="minorEastAsia" w:eastAsiaTheme="minorEastAsia"/>
          <w:color w:val="auto"/>
          <w:sz w:val="24"/>
          <w:szCs w:val="24"/>
        </w:rPr>
        <w:t xml:space="preserve">B/S </w:t>
      </w:r>
      <w:r>
        <w:rPr>
          <w:rFonts w:hint="eastAsia" w:asciiTheme="minorEastAsia" w:hAnsiTheme="minorEastAsia" w:eastAsiaTheme="minorEastAsia"/>
          <w:color w:val="auto"/>
          <w:sz w:val="24"/>
          <w:szCs w:val="24"/>
        </w:rPr>
        <w:t>架构的完善管理功能和友好管理界面，支持</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IE10 </w:t>
      </w:r>
      <w:r>
        <w:rPr>
          <w:rFonts w:hint="eastAsia" w:asciiTheme="minorEastAsia" w:hAnsiTheme="minorEastAsia" w:eastAsiaTheme="minorEastAsia"/>
          <w:color w:val="auto"/>
          <w:sz w:val="24"/>
          <w:szCs w:val="24"/>
        </w:rPr>
        <w:t>以上、</w:t>
      </w:r>
      <w:r>
        <w:rPr>
          <w:rFonts w:asciiTheme="minorEastAsia" w:hAnsiTheme="minorEastAsia" w:eastAsiaTheme="minorEastAsia"/>
          <w:color w:val="auto"/>
          <w:sz w:val="24"/>
          <w:szCs w:val="24"/>
        </w:rPr>
        <w:t xml:space="preserve">Firefox </w:t>
      </w:r>
      <w:r>
        <w:rPr>
          <w:rFonts w:hint="eastAsia" w:asciiTheme="minorEastAsia" w:hAnsiTheme="minorEastAsia" w:eastAsiaTheme="minorEastAsia"/>
          <w:color w:val="auto"/>
          <w:sz w:val="24"/>
          <w:szCs w:val="24"/>
        </w:rPr>
        <w:t>等通用浏览器。</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2）并发能力</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w:t>
      </w:r>
      <w:r>
        <w:rPr>
          <w:rFonts w:asciiTheme="minorEastAsia" w:hAnsiTheme="minorEastAsia" w:eastAsiaTheme="minorEastAsia"/>
          <w:color w:val="auto"/>
          <w:sz w:val="24"/>
          <w:szCs w:val="24"/>
        </w:rPr>
        <w:t xml:space="preserve">PSAM </w:t>
      </w:r>
      <w:r>
        <w:rPr>
          <w:rFonts w:hint="eastAsia" w:asciiTheme="minorEastAsia" w:hAnsiTheme="minorEastAsia" w:eastAsiaTheme="minorEastAsia"/>
          <w:color w:val="auto"/>
          <w:sz w:val="24"/>
          <w:szCs w:val="24"/>
        </w:rPr>
        <w:t>授权并发，</w:t>
      </w:r>
      <w:r>
        <w:rPr>
          <w:rFonts w:asciiTheme="minorEastAsia" w:hAnsiTheme="minorEastAsia" w:eastAsiaTheme="minorEastAsia"/>
          <w:color w:val="auto"/>
          <w:sz w:val="24"/>
          <w:szCs w:val="24"/>
        </w:rPr>
        <w:t xml:space="preserve">PSAM </w:t>
      </w:r>
      <w:r>
        <w:rPr>
          <w:rFonts w:hint="eastAsia" w:asciiTheme="minorEastAsia" w:hAnsiTheme="minorEastAsia" w:eastAsiaTheme="minorEastAsia"/>
          <w:color w:val="auto"/>
          <w:sz w:val="24"/>
          <w:szCs w:val="24"/>
        </w:rPr>
        <w:t>授权吞吐量≥</w:t>
      </w:r>
      <w:r>
        <w:rPr>
          <w:rFonts w:asciiTheme="minorEastAsia" w:hAnsiTheme="minorEastAsia" w:eastAsiaTheme="minorEastAsia"/>
          <w:color w:val="auto"/>
          <w:sz w:val="24"/>
          <w:szCs w:val="24"/>
        </w:rPr>
        <w:t>100TPS</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w:t>
      </w:r>
      <w:r>
        <w:rPr>
          <w:rFonts w:asciiTheme="minorEastAsia" w:hAnsiTheme="minorEastAsia" w:eastAsiaTheme="minorEastAsia"/>
          <w:color w:val="auto"/>
          <w:sz w:val="24"/>
          <w:szCs w:val="24"/>
        </w:rPr>
        <w:t xml:space="preserve">PSAM </w:t>
      </w:r>
      <w:r>
        <w:rPr>
          <w:rFonts w:hint="eastAsia" w:asciiTheme="minorEastAsia" w:hAnsiTheme="minorEastAsia" w:eastAsiaTheme="minorEastAsia"/>
          <w:color w:val="auto"/>
          <w:sz w:val="24"/>
          <w:szCs w:val="24"/>
        </w:rPr>
        <w:t>签到并发，</w:t>
      </w:r>
      <w:r>
        <w:rPr>
          <w:rFonts w:asciiTheme="minorEastAsia" w:hAnsiTheme="minorEastAsia" w:eastAsiaTheme="minorEastAsia"/>
          <w:color w:val="auto"/>
          <w:sz w:val="24"/>
          <w:szCs w:val="24"/>
        </w:rPr>
        <w:t xml:space="preserve">PSAM </w:t>
      </w:r>
      <w:r>
        <w:rPr>
          <w:rFonts w:hint="eastAsia" w:asciiTheme="minorEastAsia" w:hAnsiTheme="minorEastAsia" w:eastAsiaTheme="minorEastAsia"/>
          <w:color w:val="auto"/>
          <w:sz w:val="24"/>
          <w:szCs w:val="24"/>
        </w:rPr>
        <w:t>签到吞吐量≥</w:t>
      </w:r>
      <w:r>
        <w:rPr>
          <w:rFonts w:asciiTheme="minorEastAsia" w:hAnsiTheme="minorEastAsia" w:eastAsiaTheme="minorEastAsia"/>
          <w:color w:val="auto"/>
          <w:sz w:val="24"/>
          <w:szCs w:val="24"/>
        </w:rPr>
        <w:t>150TPS</w:t>
      </w:r>
      <w:r>
        <w:rPr>
          <w:rFonts w:hint="eastAsia" w:asciiTheme="minorEastAsia" w:hAnsiTheme="minorEastAsia" w:eastAsiaTheme="minorEastAsia"/>
          <w:color w:val="auto"/>
          <w:sz w:val="24"/>
          <w:szCs w:val="24"/>
        </w:rPr>
        <w:t>；</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3）支持车道数量 ≤50 条。</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4）密钥计算 </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密钥分散性能≤70 毫秒/次；</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SM2 生成速度≤250 毫秒/次；</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SM2 签名≤120 毫秒/次；</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SM2 验签≤80 毫秒/次；</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SM4 加解密性能≥18KB/秒。</w:t>
      </w:r>
    </w:p>
    <w:p>
      <w:pPr>
        <w:spacing w:line="360" w:lineRule="auto"/>
        <w:ind w:firstLine="506" w:firstLineChars="211"/>
        <w:jc w:val="left"/>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5）密钥存储:对称密钥保存≥</w:t>
      </w:r>
      <w:r>
        <w:rPr>
          <w:rFonts w:cs="宋体" w:asciiTheme="minorEastAsia" w:hAnsiTheme="minorEastAsia" w:eastAsiaTheme="minorEastAsia"/>
          <w:color w:val="auto"/>
          <w:sz w:val="24"/>
          <w:szCs w:val="24"/>
        </w:rPr>
        <w:t xml:space="preserve">16 </w:t>
      </w:r>
      <w:r>
        <w:rPr>
          <w:rFonts w:hint="eastAsia" w:cs="宋体" w:asciiTheme="minorEastAsia" w:hAnsiTheme="minorEastAsia" w:eastAsiaTheme="minorEastAsia"/>
          <w:color w:val="auto"/>
          <w:sz w:val="24"/>
          <w:szCs w:val="24"/>
        </w:rPr>
        <w:t>条</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6）使用寿命≥</w:t>
      </w:r>
      <w:r>
        <w:rPr>
          <w:rFonts w:cs="宋体" w:asciiTheme="minorEastAsia" w:hAnsiTheme="minorEastAsia" w:eastAsiaTheme="minorEastAsia"/>
          <w:color w:val="auto"/>
          <w:sz w:val="24"/>
          <w:szCs w:val="24"/>
        </w:rPr>
        <w:t xml:space="preserve">200 </w:t>
      </w:r>
      <w:r>
        <w:rPr>
          <w:rFonts w:hint="eastAsia" w:cs="宋体" w:asciiTheme="minorEastAsia" w:hAnsiTheme="minorEastAsia" w:eastAsiaTheme="minorEastAsia"/>
          <w:color w:val="auto"/>
          <w:sz w:val="24"/>
          <w:szCs w:val="24"/>
        </w:rPr>
        <w:t>万次授权计数</w:t>
      </w:r>
    </w:p>
    <w:p>
      <w:pPr>
        <w:pStyle w:val="7"/>
        <w:ind w:firstLine="504"/>
        <w:rPr>
          <w:color w:val="auto"/>
        </w:rPr>
      </w:pPr>
      <w:r>
        <w:rPr>
          <w:rFonts w:hint="eastAsia"/>
          <w:color w:val="auto"/>
        </w:rPr>
        <w:t>TS402.7.16</w:t>
      </w:r>
      <w:r>
        <w:rPr>
          <w:rFonts w:hint="eastAsia" w:ascii="仿宋_GB2312" w:hAnsi="宋体" w:eastAsia="仿宋_GB2312"/>
          <w:bCs/>
          <w:color w:val="auto"/>
        </w:rPr>
        <w:t xml:space="preserve"> E</w:t>
      </w:r>
      <w:r>
        <w:rPr>
          <w:rFonts w:hint="eastAsia"/>
          <w:color w:val="auto"/>
        </w:rPr>
        <w:t>TC应急收费机</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CPU:8核64位；</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存储容量：128GB（可扩展）；内存：不小于4G；</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液晶屏：8英寸，分辨率1920×1200；摄像头：标配，前置800W像素，后置1300W/带闪光灯，主要用于拍照扫描（车牌识别、二维码扫描）；</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载波频率：上下行链路5.8GHz；2个PSAM卡槽；复合通行卡接口频率：13.56MHz；复合通行卡读写距离：0~5cm；</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通信接口：USB，WiFi、蓝牙、联通4G、移动4G、电信4G、GPS/GLONASS/北斗</w:t>
      </w:r>
      <w:r>
        <w:rPr>
          <w:rFonts w:asciiTheme="minorEastAsia" w:hAnsiTheme="minorEastAsia" w:eastAsiaTheme="minorEastAsia"/>
          <w:color w:val="auto"/>
          <w:sz w:val="24"/>
          <w:szCs w:val="24"/>
        </w:rPr>
        <w:t>。</w:t>
      </w:r>
    </w:p>
    <w:p>
      <w:pPr>
        <w:pStyle w:val="7"/>
        <w:ind w:firstLine="504"/>
        <w:rPr>
          <w:color w:val="auto"/>
        </w:rPr>
      </w:pPr>
      <w:bookmarkStart w:id="241" w:name="OLE_LINK34"/>
      <w:r>
        <w:rPr>
          <w:rFonts w:hint="eastAsia"/>
          <w:color w:val="auto"/>
        </w:rPr>
        <w:t xml:space="preserve">TS402.7.17 </w:t>
      </w:r>
      <w:bookmarkEnd w:id="241"/>
      <w:r>
        <w:rPr>
          <w:rFonts w:hint="eastAsia"/>
          <w:color w:val="auto"/>
        </w:rPr>
        <w:t>工业无线终端</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内置5G全网通模块，支持移动、联通、电信5G/4G/3G/网络；</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CPU不低于双核1.2GHz，内存不低于1G，FLASH不低于8GeMMC，内置的大容量存储可以支持离线状态下长时间数据缓存需求；</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支持IPSEC/L2TP/VXLAN/Openvpn等三层和二层VPN功能特性，保障业务数据安全性；提供4个千兆以太网口，1个USB3.0接口，1个MicroUSB串口，标配4个1.5m吸盘延长天线；</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支持DC12/24V和AC220V电源供电；</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工作温度-40~70摄氏度，防护等级不低于IP40；</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具备抗攻击能力，具备畸形包处理能力，Ping Flood包攻击处理能力、SYN Flood攻击处理能力，Smruf攻击处理能力；</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支持动态静态NAT功能；具备安全审计功能；支持IPV6协议。</w:t>
      </w:r>
    </w:p>
    <w:p>
      <w:pPr>
        <w:pStyle w:val="7"/>
        <w:ind w:firstLine="504"/>
        <w:rPr>
          <w:color w:val="auto"/>
        </w:rPr>
      </w:pPr>
      <w:r>
        <w:rPr>
          <w:rFonts w:hint="eastAsia"/>
          <w:color w:val="auto"/>
        </w:rPr>
        <w:t>TS402.7.18 无线AP</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支持802.11ax标准，支持2.4GHz/5GHz双频段；2.4G射频支持802.11ax 2x2 MU-MIMO，5G射频支持802.11ax 2x2 MU-MIMO；</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总空间流数≥4，整机速率≥2.4Gbps；</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设备接口：支持1个GE以太口和支持1个SFP光口；</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天线类型：支持外置天线，本次需配置全向天线；</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内置蓝牙5.0，可实现蓝牙终端精确定位，支持蓝牙串口远距无线运维；</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支持Leader AP功能，在组网中担任WAC的角色，管理多个FIT AP；本项目需实配该功能，网关模式下可以纳管12个FIT AP；</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配置：4根双频全向天线，POE适配器。</w:t>
      </w:r>
    </w:p>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Pr>
        <w:pStyle w:val="3"/>
        <w:spacing w:after="48" w:line="360" w:lineRule="auto"/>
        <w:ind w:firstLine="504"/>
        <w:rPr>
          <w:rFonts w:cs="宋体" w:asciiTheme="minorEastAsia" w:hAnsiTheme="minorEastAsia" w:eastAsiaTheme="minorEastAsia"/>
          <w:color w:val="auto"/>
          <w:sz w:val="24"/>
          <w:szCs w:val="24"/>
        </w:rPr>
      </w:pPr>
      <w:bookmarkStart w:id="242" w:name="_Toc487614670"/>
      <w:bookmarkStart w:id="243" w:name="_Toc485609672"/>
      <w:bookmarkStart w:id="244" w:name="_Toc485975222"/>
      <w:bookmarkStart w:id="245" w:name="_Toc5188543"/>
      <w:bookmarkStart w:id="246" w:name="_Toc339459051"/>
      <w:bookmarkStart w:id="247" w:name="_Toc490905786"/>
      <w:bookmarkStart w:id="248" w:name="_Toc341344963"/>
      <w:bookmarkStart w:id="249" w:name="_Toc490906084"/>
      <w:bookmarkStart w:id="250" w:name="_Toc487343049"/>
      <w:bookmarkStart w:id="251" w:name="_Toc340840426"/>
      <w:bookmarkStart w:id="252" w:name="_Toc339451647"/>
      <w:bookmarkStart w:id="253" w:name="_Toc485612836"/>
      <w:bookmarkStart w:id="254" w:name="_Toc491251300"/>
      <w:bookmarkStart w:id="255" w:name="_Toc5188620"/>
      <w:bookmarkStart w:id="256" w:name="_Toc5188774"/>
      <w:bookmarkStart w:id="257" w:name="_Toc339457305"/>
      <w:bookmarkStart w:id="258" w:name="_Toc344132855"/>
      <w:bookmarkStart w:id="259" w:name="_Toc491251641"/>
      <w:bookmarkStart w:id="260" w:name="_Toc400804564"/>
      <w:bookmarkStart w:id="261" w:name="_Toc487529300"/>
      <w:bookmarkStart w:id="262" w:name="_Toc487343219"/>
      <w:bookmarkStart w:id="263" w:name="_Toc489177982"/>
      <w:bookmarkStart w:id="264" w:name="_Toc82857105"/>
      <w:bookmarkStart w:id="265" w:name="_Toc340841609"/>
      <w:r>
        <w:rPr>
          <w:rFonts w:hint="eastAsia" w:cs="宋体" w:asciiTheme="minorEastAsia" w:hAnsiTheme="minorEastAsia" w:eastAsiaTheme="minorEastAsia"/>
          <w:color w:val="auto"/>
          <w:sz w:val="24"/>
          <w:szCs w:val="24"/>
        </w:rPr>
        <w:t xml:space="preserve">TS403 </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Pr>
          <w:rFonts w:hint="eastAsia" w:cs="宋体" w:asciiTheme="minorEastAsia" w:hAnsiTheme="minorEastAsia" w:eastAsiaTheme="minorEastAsia"/>
          <w:color w:val="auto"/>
          <w:sz w:val="24"/>
          <w:szCs w:val="24"/>
        </w:rPr>
        <w:t>网络安全设计</w:t>
      </w:r>
    </w:p>
    <w:p>
      <w:pPr>
        <w:pStyle w:val="3"/>
        <w:spacing w:after="48" w:line="360" w:lineRule="auto"/>
        <w:ind w:firstLine="504"/>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TS403.1 收费站安全设计</w:t>
      </w:r>
    </w:p>
    <w:p>
      <w:pPr>
        <w:spacing w:line="360" w:lineRule="auto"/>
        <w:ind w:firstLine="506" w:firstLineChars="211"/>
        <w:jc w:val="left"/>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收费站参照网络安全等级保护中在安全通信网络、安全区域边界及安全计算环境方面的三级安全保护。</w:t>
      </w:r>
    </w:p>
    <w:p>
      <w:pPr>
        <w:pStyle w:val="7"/>
        <w:ind w:firstLine="504"/>
        <w:rPr>
          <w:color w:val="auto"/>
        </w:rPr>
      </w:pPr>
      <w:bookmarkStart w:id="266" w:name="_Toc340840427"/>
      <w:bookmarkStart w:id="267" w:name="_Toc400804565"/>
      <w:bookmarkStart w:id="268" w:name="_Toc341344964"/>
      <w:bookmarkStart w:id="269" w:name="_Toc339451648"/>
      <w:bookmarkStart w:id="270" w:name="_Toc339457306"/>
      <w:bookmarkStart w:id="271" w:name="_Toc344132856"/>
      <w:bookmarkStart w:id="272" w:name="_Toc340841610"/>
      <w:bookmarkStart w:id="273" w:name="_Toc339459052"/>
      <w:r>
        <w:rPr>
          <w:rFonts w:hint="eastAsia"/>
          <w:color w:val="auto"/>
        </w:rPr>
        <w:t>TS403.1.1安全物理环境</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通过机房安排人员专业值守或者设置电子门禁实现对外来人员的身份管理，记录下外来人员身份信息、联系电话、接待人、时间等详细信息，记录下来的台账信息需要至少保存6个月时间。</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主要设备及主要部件安装在专业机房或专用机柜内，布设交流电源地线，配备符合消防管理要求的灭火设备，采用必要的防水、防潮、接地防静电、温湿度调节措施，配备不间断电源系统，电源线和通信线缆隔离铺设等措施，实现收费站机房物理访问控制、防盗和防破坏、防雷击、防火、防水和防潮、温湿度控制、电力供应、电磁防护等物理环境安全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实际操作过程中视收费站的具体情况，在选址、电磁防护、防火等方面的整改必然会有困难。需要结合实际情况进行整改加固，综合考虑投入与增效。</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重点加强物理访问控制（门禁和进出人员登记）、温湿度控制、电力供应等方面。确保物理环境能有效保障收费系统的硬件可用性。</w:t>
      </w:r>
    </w:p>
    <w:p>
      <w:pPr>
        <w:pStyle w:val="7"/>
        <w:ind w:firstLine="504"/>
        <w:rPr>
          <w:color w:val="auto"/>
        </w:rPr>
      </w:pPr>
      <w:r>
        <w:rPr>
          <w:rFonts w:hint="eastAsia"/>
          <w:color w:val="auto"/>
        </w:rPr>
        <w:t xml:space="preserve">TS403.1.2 安全通信网络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主干链路的通信和安全防护等关键设备采用双机备份，包括双交换机、双4G路由器、双防火墙，实现收费站和部联网中心、路段中心的通信传输链路冗余。</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交换机或防火墙等设备划分出收费业务区、运维管理区、设备接入区，并且为ETC门架系统的接入单独设置网络区域，并且按照便捷管理和集约管控的原则进行规划IP地址并实现逻辑隔离，严禁收费站内外网区域和收费专网区域发送数据交换。</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核心防火墙配置IP Sec VPN功能模块，实现链路通信加密，设备具备国家密码管理局颁发的商用密码产品型号证书，满足通信传输要求。</w:t>
      </w:r>
    </w:p>
    <w:p>
      <w:pPr>
        <w:pStyle w:val="7"/>
        <w:ind w:firstLine="504"/>
        <w:rPr>
          <w:color w:val="auto"/>
        </w:rPr>
      </w:pPr>
      <w:r>
        <w:rPr>
          <w:rFonts w:hint="eastAsia"/>
          <w:color w:val="auto"/>
        </w:rPr>
        <w:t xml:space="preserve">TS403.1.3 安全区域边界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核心防火墙把站点分为接入通信区、收费业务区。对防火墙设备进行有效设置，隔离接入区域，通过安全运维工作，保障安全策略可用有效，保证跨越网络区域边界的访问和数据流通过受控接口进行通信，并配备终端管控系统，对非授权设备私自联到收费专网的行为进行检查或限制，对收费专网终端或用户非授权连接到外部网络的行为进行检查或限制，阻止非授权访问。收费专网应严格禁止无线局域网络的违规使用。满足边界防护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防火墙配置入侵检测模块，防病毒模块，检测从外部/内部发起的网络攻击行为，实现对恶意代码的防范。维护恶意代码防护机制的升级和更新。满足访问控制，入侵防范，恶意代码防范要求。</w:t>
      </w:r>
    </w:p>
    <w:p>
      <w:pPr>
        <w:pStyle w:val="7"/>
        <w:ind w:firstLine="504"/>
        <w:rPr>
          <w:color w:val="auto"/>
        </w:rPr>
      </w:pPr>
      <w:r>
        <w:rPr>
          <w:rFonts w:hint="eastAsia"/>
          <w:color w:val="auto"/>
        </w:rPr>
        <w:t xml:space="preserve">TS403.1.4 安全计算环境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对登录网络、服务器、中间件、数据库、终端及应用等计算环境的用户进行身份标识和鉴别。采用口令、密码技术、生物技术等鉴别技术对用户进行身份鉴别，为计算设备、安全防护设备与部联网中心之间实现双向身份标识认证，保障部站直传安全通信。当进行远程管理时，应采取 SSH、HTTPS 等方式防止管理数据、鉴别信息在网络传输过程中被窃听。通过堡垒机实现权限分离，对计算设备用户的安全配置实现。通过堡垒机对系统管理员、审计管理员、安全管理员进行身份鉴别，只允许其分别通过特定的命令或操作界面分别进行系统资源配置、安全审计、安全策略配置操作，并对这些操作进行审计。满足身份鉴别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开启网络设备、安全设备、服务器、中间件、数据库、终端及应用系统的访问和操作审计功能，设置独立审计员账户，限制其他用户对审计进程操作；并配备堡垒机和日志审计等相关系统。审计记录留存 6 个月以上。满足安全审计要求。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安全运维对设备进行合理配置，定期对服务器、终端进行漏洞扫描，并及时修补漏洞。服务器应安装终端管控软件，实现对各类硬件设备的外接存储接口进行移除或限制。同时配备主机漏扫，WEB漏扫，工控漏扫，基线核查等相应功能的设备。满足入侵防范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联网收费系统终端、服务器等通过安装防恶意代码软件等方式实现对恶意代码的防范。要求配置具有与网络防恶意代码产品不同的恶意代码库，支持恶意代码防范的统一升级和管理。满足恶意代码防范要求。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通过软件开发等方式实现数据完整性校验，并在数据完整性受到破坏时实施数据重传，并对存储的数据采取多重备份。满足数据完整性要求。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在软件开发过程中，采用密码技术保证收费站重要数据在传输和存储过程中的保密性。密码算法应符合国家密码管理局相关规范要求。满足数据保密性要求。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配备数据备份服务器、或在路段中心或省中心实现数据备份，可根据需要实现关键业务数据库服务器的双机热备。每周至少进行一次全备份，每天进行增量备份。满足数据备份恢复要求。</w:t>
      </w:r>
    </w:p>
    <w:p>
      <w:pPr>
        <w:pStyle w:val="7"/>
        <w:ind w:firstLine="504"/>
        <w:rPr>
          <w:color w:val="auto"/>
        </w:rPr>
      </w:pPr>
      <w:r>
        <w:rPr>
          <w:rFonts w:hint="eastAsia"/>
          <w:color w:val="auto"/>
        </w:rPr>
        <w:t>TS403.1.5 物联网安全扩展要求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收费车道的 RSU、高清车牌视频识别等设备参考物联网安全扩展要求。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1、安全物理环境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应具备防水、防潮、防尘设计，防护等级应不低于 IP55。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2、安全区域边界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配置终端管控设备，提供设备认证能力，保证只有授权的设备可以接入。</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配置收费站防火墙策略，开启入侵检测功能，限制与设备通信的目标地址，以避免对陌生地址的攻击行为。</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3、安全计算环境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应配置集中管控软件系统，满足以下功能：</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①应保证只有授权的用户可以对设备上的软件应用进行配置或变更；</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②设备的合法用户应具有统一的用户标识、不得使用默认口令，若只用“用户名+口令”的鉴别方式进行身份鉴别，则应使用具有一定复杂度的用户口令（用户口令须由大小写英文字母、数字、特殊字符 3 种以上组成、长度不少于 8 位） ，90 天进行更新，具有登录失败和登录超时处理功能，连续 5 次登录失败至少锁定 10 分钟；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③当进行远程管理时应启用 SSH、HTTPS 等管理方式，加密管理数据、鉴别信息，防止被网络窃听；</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④设备应支持远程集中管控。 </w:t>
      </w:r>
    </w:p>
    <w:p>
      <w:pPr>
        <w:pStyle w:val="7"/>
        <w:ind w:firstLine="504"/>
        <w:rPr>
          <w:color w:val="auto"/>
        </w:rPr>
      </w:pPr>
      <w:r>
        <w:rPr>
          <w:rFonts w:hint="eastAsia"/>
          <w:color w:val="auto"/>
        </w:rPr>
        <w:t xml:space="preserve">TS403.1.6 收费站安全建设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收费站及 ETC 门架系统参照网络安全等级保护中在安全通信网络、安全区域边界及安全计算环境等方面的三级安全保护要求，同时充分考虑外场设备的物联网属性，开展安全保护。</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在收费站部署核心防火墙设备，外联防火墙，终端管控设备，日志审计设备，病毒防护软件，通过人工方式进行服务器和网络设备加固。从而达到等级保护三级基本要求。</w:t>
      </w:r>
    </w:p>
    <w:bookmarkEnd w:id="266"/>
    <w:bookmarkEnd w:id="267"/>
    <w:bookmarkEnd w:id="268"/>
    <w:bookmarkEnd w:id="269"/>
    <w:bookmarkEnd w:id="270"/>
    <w:bookmarkEnd w:id="271"/>
    <w:bookmarkEnd w:id="272"/>
    <w:bookmarkEnd w:id="273"/>
    <w:p>
      <w:pPr>
        <w:pStyle w:val="7"/>
        <w:ind w:firstLine="504"/>
        <w:rPr>
          <w:color w:val="auto"/>
        </w:rPr>
      </w:pPr>
      <w:bookmarkStart w:id="274" w:name="_Toc400804566"/>
      <w:r>
        <w:rPr>
          <w:rFonts w:hint="eastAsia"/>
          <w:color w:val="auto"/>
        </w:rPr>
        <w:t>TS403.1.7主要技术指标要求</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（1）</w:t>
      </w:r>
      <w:r>
        <w:rPr>
          <w:rFonts w:cs="宋体" w:asciiTheme="minorEastAsia" w:hAnsiTheme="minorEastAsia" w:eastAsiaTheme="minorEastAsia"/>
          <w:b/>
          <w:color w:val="auto"/>
          <w:sz w:val="24"/>
          <w:szCs w:val="24"/>
        </w:rPr>
        <w:t>防火墙</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标准机架式；</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防火墙吞吐量≥15G；防病毒吞吐量≥3G，IPS 吞吐量≥3G；</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最大并发连接数≥300万；每秒新建连接数≥15万；</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千兆电接口≥10，千兆光口（含光模块）≥4，万兆光口（含光模块）≥4，≥4T硬盘；</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双电源； 支持热插拔电源；风扇冗余；</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支持国密算法SM2/SM3/SM4算法，IPSEC VPN吞吐500M，隧道并发数≥10；</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能够基于IP、IPv6、MAC地址、时间进行访问控制策略控制;支持自定义安全策略，安全策略组功能；支持策略冗余/命中分析；</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入侵防御:基于特征检测，支持多种特征的攻击检测和防御，支持对常见应用服务（HTTP、FTP、SSH、SMTP、IMAP）和数据库软件（MySQL、Oracle、MSSQL）的口令暴力破解防护功能支持恶意域名过滤，实现对C&amp;C进行阻断。</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可以支持HTTP/FTP/POP3/SMTP/IMAP/SMB多种协议进行病毒查杀，可对流行病毒、木马、APT高级威胁等进行失陷检测病毒防护；</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针对多链路出口场景，支持智能DNS功能、透明DNS功能、动态DNS功能，支持会话保持，满足多链路的负载均衡；</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具备向态势感知平台推送告警信息、日志信息；</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含特征库升级2年。</w:t>
      </w:r>
    </w:p>
    <w:p>
      <w:pPr>
        <w:spacing w:line="360" w:lineRule="auto"/>
        <w:ind w:firstLine="508" w:firstLineChars="211"/>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（2）</w:t>
      </w:r>
      <w:r>
        <w:rPr>
          <w:rFonts w:asciiTheme="minorEastAsia" w:hAnsiTheme="minorEastAsia" w:eastAsiaTheme="minorEastAsia"/>
          <w:b/>
          <w:color w:val="auto"/>
          <w:sz w:val="24"/>
          <w:szCs w:val="24"/>
        </w:rPr>
        <w:t>日志安全审计设备</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标准1U设备，标配≥6个千兆接口，≥1个扩展插槽，存储≥2T，</w:t>
      </w:r>
      <w:r>
        <w:rPr>
          <w:rFonts w:asciiTheme="minorEastAsia" w:hAnsiTheme="minorEastAsia" w:eastAsiaTheme="minorEastAsia"/>
          <w:color w:val="auto"/>
          <w:sz w:val="24"/>
          <w:szCs w:val="24"/>
        </w:rPr>
        <w:t>支持至少25个日志源，包括事件的日期和时间、用户、事件类型、事件是否成功及其他与审计相关的信息，审计日志留存 6 个月以上；</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支持Syslog、SNMP、XML、FTP 、OPSEC及本地文件等常用协议，支持主流网络设备、主机、服务器，软件及应用系统；</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支持数据分析，集中化呈现；</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支持分布式部署和集中化管理；</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提供与态势感知系统，安全管理平台等系统的对接</w:t>
      </w:r>
      <w:r>
        <w:rPr>
          <w:rFonts w:hint="eastAsia" w:asciiTheme="minorEastAsia" w:hAnsiTheme="minorEastAsia" w:eastAsiaTheme="minorEastAsia"/>
          <w:color w:val="auto"/>
          <w:sz w:val="24"/>
          <w:szCs w:val="24"/>
        </w:rPr>
        <w:t>。</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（3）</w:t>
      </w:r>
      <w:r>
        <w:rPr>
          <w:rFonts w:cs="宋体" w:asciiTheme="minorEastAsia" w:hAnsiTheme="minorEastAsia" w:eastAsiaTheme="minorEastAsia"/>
          <w:b/>
          <w:color w:val="auto"/>
          <w:sz w:val="24"/>
          <w:szCs w:val="24"/>
        </w:rPr>
        <w:t>终端</w:t>
      </w:r>
      <w:r>
        <w:rPr>
          <w:rFonts w:hint="eastAsia" w:cs="宋体" w:asciiTheme="minorEastAsia" w:hAnsiTheme="minorEastAsia" w:eastAsiaTheme="minorEastAsia"/>
          <w:b/>
          <w:color w:val="auto"/>
          <w:sz w:val="24"/>
          <w:szCs w:val="24"/>
        </w:rPr>
        <w:t>管理</w:t>
      </w:r>
      <w:r>
        <w:rPr>
          <w:rFonts w:cs="宋体" w:asciiTheme="minorEastAsia" w:hAnsiTheme="minorEastAsia" w:eastAsiaTheme="minorEastAsia"/>
          <w:b/>
          <w:color w:val="auto"/>
          <w:sz w:val="24"/>
          <w:szCs w:val="24"/>
        </w:rPr>
        <w:t>设备</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标准机架式设备，≥6个千兆电口，吞吐量≥2Gbps，最大并发数≥3000。标配用户授权≥2</w:t>
      </w:r>
      <w:r>
        <w:rPr>
          <w:rFonts w:asciiTheme="minorEastAsia" w:hAnsiTheme="minorEastAsia" w:eastAsiaTheme="minorEastAsia"/>
          <w:color w:val="auto"/>
          <w:sz w:val="24"/>
          <w:szCs w:val="24"/>
        </w:rPr>
        <w:t>00</w:t>
      </w:r>
      <w:r>
        <w:rPr>
          <w:rFonts w:hint="eastAsia" w:asciiTheme="minorEastAsia" w:hAnsiTheme="minorEastAsia" w:eastAsiaTheme="minorEastAsia"/>
          <w:color w:val="auto"/>
          <w:sz w:val="24"/>
          <w:szCs w:val="24"/>
        </w:rPr>
        <w:t>，磁盘空间≥</w:t>
      </w:r>
      <w:r>
        <w:rPr>
          <w:rFonts w:asciiTheme="minorEastAsia" w:hAnsiTheme="minorEastAsia" w:eastAsiaTheme="minorEastAsia"/>
          <w:color w:val="auto"/>
          <w:sz w:val="24"/>
          <w:szCs w:val="24"/>
        </w:rPr>
        <w:t>4</w:t>
      </w:r>
      <w:r>
        <w:rPr>
          <w:rFonts w:hint="eastAsia" w:asciiTheme="minorEastAsia" w:hAnsiTheme="minorEastAsia" w:eastAsiaTheme="minorEastAsia"/>
          <w:color w:val="auto"/>
          <w:sz w:val="24"/>
          <w:szCs w:val="24"/>
        </w:rPr>
        <w:t>T。</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产品支持多种认证控制方式，支持802.1x、portal、DHCP、MAB MAC、策略路由、旁路镜像、WebAuth等方式，防止未经认证的计算机接入网络。系统支持提供对接入终端的物理位置、IP/MAC地址、用户名、计算机名、交换机的物理位置、接入网络、接入状态等接入日志信息。</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支持有线和无线网络环境的接入认证。支持单服务器多物理网络隔离认证。支持拦截可疑计算机或设备，恶意尝试认证的用户，支持强制隔离下线和锁定功能。</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外设使用安全检查，检查是否插入自动运行风险性U盘</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支持健康合规检查策略，支持入网检查、定时检查、周期检查机制</w:t>
      </w:r>
      <w:r>
        <w:rPr>
          <w:rFonts w:asciiTheme="minorEastAsia" w:hAnsiTheme="minorEastAsia" w:eastAsiaTheme="minorEastAsia"/>
          <w:color w:val="auto"/>
          <w:sz w:val="24"/>
          <w:szCs w:val="24"/>
        </w:rPr>
        <w:t>；</w:t>
      </w:r>
      <w:r>
        <w:rPr>
          <w:rFonts w:hint="eastAsia" w:asciiTheme="minorEastAsia" w:hAnsiTheme="minorEastAsia" w:eastAsiaTheme="minorEastAsia"/>
          <w:color w:val="auto"/>
          <w:sz w:val="24"/>
          <w:szCs w:val="24"/>
        </w:rPr>
        <w:t>支持发现网络内的NAT设备，支持发现NAT网络内部设备信息，支持对非法NAT阻断入网；</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支持安全报表功能，</w:t>
      </w:r>
      <w:r>
        <w:rPr>
          <w:rFonts w:hint="eastAsia" w:asciiTheme="minorEastAsia" w:hAnsiTheme="minorEastAsia" w:eastAsiaTheme="minorEastAsia"/>
          <w:color w:val="auto"/>
          <w:sz w:val="24"/>
          <w:szCs w:val="24"/>
        </w:rPr>
        <w:t>支持web portal认证日志报表，可按照认证时间、用户名、接入计算机IP、浏览器、访问地址、入网方式、认证失败记录等入网日志查看日志详情，提供趋势图、柱状图、TOP10排名等入网访问报表展示</w:t>
      </w:r>
      <w:r>
        <w:rPr>
          <w:rFonts w:asciiTheme="minorEastAsia" w:hAnsiTheme="minorEastAsia" w:eastAsiaTheme="minorEastAsia"/>
          <w:color w:val="auto"/>
          <w:sz w:val="24"/>
          <w:szCs w:val="24"/>
        </w:rPr>
        <w:t>。</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（4）</w:t>
      </w:r>
      <w:r>
        <w:rPr>
          <w:rFonts w:cs="宋体" w:asciiTheme="minorEastAsia" w:hAnsiTheme="minorEastAsia" w:eastAsiaTheme="minorEastAsia"/>
          <w:b/>
          <w:color w:val="auto"/>
          <w:sz w:val="24"/>
          <w:szCs w:val="24"/>
        </w:rPr>
        <w:t>终端管控软件</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支持客户端手动一键安装。</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支持硬件监视策略。可在主机硬件变化时报警。</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支持外联监控策略。</w:t>
      </w:r>
      <w:r>
        <w:rPr>
          <w:rFonts w:hint="eastAsia" w:asciiTheme="minorEastAsia" w:hAnsiTheme="minorEastAsia" w:eastAsiaTheme="minorEastAsia"/>
          <w:color w:val="auto"/>
          <w:sz w:val="24"/>
          <w:szCs w:val="24"/>
        </w:rPr>
        <w:t>支持tcp、ping、域名解析三种外联探测方式，支持自定义探测地址，探测频率，支持外联告警断网，支持终端互联网出口IP探测</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支持WEB访问策略。可定义信任站点列表、限制站点列表，可对主机访问的站点进行阻断、报警、记录日志操作。</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支持能耗管理，支持定时关机策略，规定时间提示倒计时关机；支持终端工作时间外的开机告警；</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支持进程监视策略。可定义进程黑、白名单，定义单个进程的内存、CPU阀值，超过后将报警。白名单指定进程未启动时可阻断网络，黑名单中的进程可自动中止。</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支持端口监视策略。支持定义端口黑、白名单，白名单中的端口未开放或者黑名单中的端口已开放均会产生报警。</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支持系统性能策略。支持内存和CPU使用率上限和持续时间定义，当超过上限和持续时间时报警。支持监控硬盘剩余空间，当低于下限时报警。</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支持网络配置监控策略。可禁止用户修改网络参数，禁止用户使用多网卡。违规时可以断开网络，可自定义断开时间。</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支持主机防火墙策略。支持定义进程通讯规则，可指定规则名称、进程名称、通讯协议、本地端口列表、远程IP和端口列表、数据流向（传入、传出和双向）、处理方式（阻断/放行、记录日志、报警）。</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含特征升级2年。</w:t>
      </w:r>
    </w:p>
    <w:p>
      <w:pPr>
        <w:spacing w:line="360" w:lineRule="auto"/>
        <w:ind w:firstLine="508" w:firstLineChars="211"/>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（5）</w:t>
      </w:r>
      <w:r>
        <w:rPr>
          <w:rFonts w:asciiTheme="minorEastAsia" w:hAnsiTheme="minorEastAsia" w:eastAsiaTheme="minorEastAsia"/>
          <w:b/>
          <w:color w:val="auto"/>
          <w:sz w:val="24"/>
          <w:szCs w:val="24"/>
        </w:rPr>
        <w:t>病毒防护软件</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支持云查杀引擎、启发式引擎、脚本查杀引擎、人工智能引擎等多种病毒查杀引擎</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能够实时检测和拦截攻击行为，包括改写系统关键文件、修改注册表关键键值、感染移动存储介质、创建系统账号</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立体防护系统，包含浏览器防护，系统防护，入口防护和隔离防护4大类，其中浏览器防护包含网页防护，看片防护，网购防护，搜索防护，首页锁定，默认浏览器防护，邮件安全防护。系统防护包含摄像头防护，键盘记录防护，文件系统防护，驱动防护，进程防护，注册表防护。入口防护包含下载安全防护，U盘防护，黑客入侵防护，漏洞入侵防护，DNS防护，局域网防护。隔离防护包含可疑程序隔离防护。</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服务器严格防护模式，为阻止入侵者关闭或者破坏客户端防护、以及放行勒索病毒，将阻止服务器客户端退出和卸载，终端无法添加信任和开发者信任，客户端无法关闭自我保护，禁止应用程序加载驱动</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支持按CVE编号查询漏洞，支持按KB号查询漏洞，管理员可快速关注高危漏洞，查看漏洞修复情况，如果还有未修复的终端则可立即下发修复任务</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简化补丁运维工作，支持补丁灰度发布，支持设置对特定分组优先进行补丁分发，自定义测试一段时间后再全网升级，实现补丁自动化运维</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可以支持Redhat、SUSElinux等主流 Linux防护；支持中标麒麟/银河麒麟系统；</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含两年特征库升级维护服务。</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（6）</w:t>
      </w:r>
      <w:r>
        <w:rPr>
          <w:rFonts w:cs="宋体" w:asciiTheme="minorEastAsia" w:hAnsiTheme="minorEastAsia" w:eastAsiaTheme="minorEastAsia"/>
          <w:b/>
          <w:color w:val="auto"/>
          <w:sz w:val="24"/>
          <w:szCs w:val="24"/>
        </w:rPr>
        <w:t>部技术规范要求符合性评测</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具有网络安全等级测评资质或安全风险评估等相关资质；</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制定《联网收费系统省域系统并网接入网络安全基本技术要求》符合性评测方案，经建设单位审核后实施；</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完成建设单位收费业务系统符合性评测工作，包含差距分析，整改，评测，并出具评测报告；</w:t>
      </w:r>
    </w:p>
    <w:p>
      <w:pPr>
        <w:numPr>
          <w:ilvl w:val="0"/>
          <w:numId w:val="1"/>
        </w:numPr>
        <w:adjustRightInd w:val="0"/>
        <w:snapToGrid w:val="0"/>
        <w:spacing w:line="360" w:lineRule="auto"/>
        <w:ind w:left="0" w:firstLine="506"/>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完成网络和服务器主机安全加固工作。</w:t>
      </w:r>
    </w:p>
    <w:p>
      <w:pPr>
        <w:pStyle w:val="3"/>
        <w:spacing w:after="48" w:line="360" w:lineRule="auto"/>
        <w:ind w:firstLine="504"/>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TS403.2 ETC 门架安全设计</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ETC 门架系统参照网络安全等级保护中在安全通信网络、安全区域边界及安全计算环境方面的三级安全保护要求。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ETC 门架系统主要包含 ETC 门架收费软件，车道控制器、RSU、车牌图像识别等设施设备及有关网络基础运行环境。</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ETC 门架系统业务数据通过收费站与省联网中心和部联网中心建立连接，收费站内为门架系统服务的设备，按照收费站安全要求进行保护；多个门架系统共用收费站部署的一套计算环境和网络环境，可统筹考虑安全防护。同时，门架系统可视情况复用、共用收费站的网络安全物理环境、网络环境和计算环境。</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部署在收费站的 ETC 门架系统的部分设备，按照收费站安全要求进行保护。</w:t>
      </w:r>
    </w:p>
    <w:p>
      <w:pPr>
        <w:pStyle w:val="7"/>
        <w:ind w:firstLine="504"/>
        <w:rPr>
          <w:color w:val="auto"/>
        </w:rPr>
      </w:pPr>
      <w:r>
        <w:rPr>
          <w:rFonts w:hint="eastAsia"/>
          <w:color w:val="auto"/>
        </w:rPr>
        <w:t>TS403.2.1安全物理环境</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ETC 门架系统应将计算设备和通信设备布设在具有温湿度控制、防盗防破坏的环境，并通过有线通信网络与门架设备连接。ETC 门架系统设备严禁非授权人员攀登。ETC 门架系统的车道控制器、通信设备、供电设备等需放置在机柜内。室外机柜具备硬件防盗设计，柜体无裸露可拆卸部件，并通过电子门锁、视频监控、设备状态监测等手段对箱体开启情况进行监控记录，及时发现设备的丢失、损坏等异常状态。室外机柜集成防雷、接地保护装置，具备防雷击和防浪涌冲击的能力。室外机柜具备防火、防水（防潮）设计，防护等级不低于 IP55。</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室外机柜集成空调，支持柜内温度自动调节，保障柜内设备运行在所允许的范围内；室外机柜应具备温湿度传感器；</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ETC 门架系统室外设备，工作温度范围至少应满足-20℃～+55℃（寒区-35℃～+40℃），湿度范围应满足 5%～95%（无凝露），可根据气候地理条件，进行温湿度适应范围调整。</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室外机柜配备备用电力供应，保证 ETC 门架系统的持续电力供应，确保 ETC 门架系统 24 小时不间断工作。</w:t>
      </w:r>
    </w:p>
    <w:p>
      <w:pPr>
        <w:pStyle w:val="7"/>
        <w:ind w:firstLine="504"/>
        <w:rPr>
          <w:color w:val="auto"/>
        </w:rPr>
      </w:pPr>
      <w:r>
        <w:rPr>
          <w:rFonts w:hint="eastAsia"/>
          <w:color w:val="auto"/>
        </w:rPr>
        <w:t>TS403.2.2安全通信网络</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ETC 门架系统相关通信设备的业务处理能力具备冗余空间，保证部站、省站等传输线路网络的带宽满足业务高峰期需要，根据业务职能、重要性和所涉及信息的重要程度等因素，根据需要至少划分通信设备、计算设备等不同的网络区域，并按照便捷管理和集约管控的原则为各网络区域分配地址，通过有效措施对各网络区域进行技术隔离；ETC 门架系统和省联网中心、部联网中心通信传输应提供链路冗余，主干链路的通信和安全防护等关键设备应采用双机备份。</w:t>
      </w:r>
    </w:p>
    <w:p>
      <w:pPr>
        <w:pStyle w:val="7"/>
        <w:ind w:firstLine="504"/>
        <w:rPr>
          <w:color w:val="auto"/>
        </w:rPr>
      </w:pPr>
      <w:r>
        <w:rPr>
          <w:rFonts w:hint="eastAsia"/>
          <w:color w:val="auto"/>
        </w:rPr>
        <w:t>TS403.2.3 安全区域边界</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配备接入认证、加密传输等功能的安全网关设备，采用校验技术保证部站、省站通信过程中数据的完整性。采用密码技术保证部站、省站通信过程中的保密性。</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边界防护设备，保证跨越网络区域边界的访问和数据流通过边界设备提供的受控接口进行通信；对非授权设备私自联到收费专网的行为进行检查或限制，能够对收费专网终端或用户非授权连接到外部网络的行为进行检查或限制，阻止非授权访问。</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根据访问控制策略设置访问控制规则，默认情况下除允许通信外，受控接口拒绝所有通信。</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在关键网络节点处，通过入侵检测、监测预警等功能的安全设备检测从内部/外部发起的网络攻击行为。</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启用安全审计功能，审计覆盖到每个远程连接管理的用户，对重要的用户行为和重要安全事件进行审计。开启边界防护设备日志审计功能，对远程连接、管理的用户进行审计。通过将日志上传至路段中心实现备份。</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完善相关设备安全策略，至少每半年对网络设备、服务器、数据库、中间件、RSU、车牌图像识别设备和终端等进行一次漏洞扫描，并及时进行系统加固和漏洞修补。</w:t>
      </w:r>
    </w:p>
    <w:p>
      <w:pPr>
        <w:pStyle w:val="7"/>
        <w:ind w:firstLine="504"/>
        <w:rPr>
          <w:color w:val="auto"/>
        </w:rPr>
      </w:pPr>
      <w:r>
        <w:rPr>
          <w:rFonts w:hint="eastAsia"/>
          <w:color w:val="auto"/>
        </w:rPr>
        <w:t>TS403.2.4安全计算环境</w:t>
      </w:r>
    </w:p>
    <w:p>
      <w:pPr>
        <w:spacing w:line="360" w:lineRule="auto"/>
        <w:ind w:firstLine="506" w:firstLineChars="211"/>
        <w:rPr>
          <w:rFonts w:cs="宋体" w:asciiTheme="minorEastAsia" w:hAnsiTheme="minorEastAsia" w:eastAsiaTheme="minorEastAsia"/>
          <w:color w:val="auto"/>
          <w:sz w:val="24"/>
          <w:szCs w:val="24"/>
        </w:rPr>
      </w:pPr>
      <w:bookmarkStart w:id="275" w:name="OLE_LINK47"/>
      <w:bookmarkStart w:id="276" w:name="OLE_LINK46"/>
      <w:r>
        <w:rPr>
          <w:rFonts w:hint="eastAsia" w:cs="宋体" w:asciiTheme="minorEastAsia" w:hAnsiTheme="minorEastAsia" w:eastAsiaTheme="minorEastAsia"/>
          <w:color w:val="auto"/>
          <w:sz w:val="24"/>
          <w:szCs w:val="24"/>
        </w:rPr>
        <w:t>具备条件的可对管理人员、运维人员等采用“用户名+口令”和“USBkey 交通行业国密证书”或其他双因素认证方式实现用户身份鉴别。特定终端或网络地址范围，对通过网络进行管理的终端进行限制并且口令满足密码强度要求，并配置防暴力破解，对登录失败次数达到阈值的访问至少锁定10分钟。并禁用超级管理员账户，修改默认口令，只允许其分别通过特定的命令或操作界面分别进行系统资源配置、安全审计、安全策略配置操作，并对这些操作进行审计。满足身份鉴别、访问控制、安全审计的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终端、服务器安装恶意代码防范软件及时识别入侵和病毒行为，并将其有效阻断。对 ETC 门架系统安全设备、服务器、终端设备进行统一恶意代码防范，支持防恶意代码的统一升级和管理。</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采用校验码技术或密码技术保证重要数据（指令数据、交易数据、费率数据、车辆图像数据等）在传输和存储过程中的完整性，并在检测到完整性错误时采取必要的恢复措施。</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采用密码技术保证 ETC 门架系统重要数据（指令数据、业务数据）在传输和存储过程中的保密性。</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对重要数据（指令数据、交易数据、费率数据、车辆图像数据等），通过本地存储方式或传输至路段中心进行备份。</w:t>
      </w:r>
    </w:p>
    <w:bookmarkEnd w:id="275"/>
    <w:bookmarkEnd w:id="276"/>
    <w:p>
      <w:pPr>
        <w:pStyle w:val="7"/>
        <w:ind w:firstLine="504"/>
        <w:rPr>
          <w:color w:val="auto"/>
        </w:rPr>
      </w:pPr>
      <w:r>
        <w:rPr>
          <w:rFonts w:hint="eastAsia"/>
          <w:color w:val="auto"/>
        </w:rPr>
        <w:t>TS403.2.5 ETC门架安全建设</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本次设计在ETC门架系统与收费站计算机系统之间设置防火墙，且防火墙支持bypass功能。</w:t>
      </w:r>
    </w:p>
    <w:p>
      <w:pPr>
        <w:pStyle w:val="3"/>
        <w:spacing w:after="48" w:line="360" w:lineRule="auto"/>
        <w:ind w:firstLine="504"/>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TS404 </w:t>
      </w:r>
      <w:r>
        <w:rPr>
          <w:rFonts w:hint="eastAsia" w:cs="宋体" w:asciiTheme="minorEastAsia" w:hAnsiTheme="minorEastAsia" w:eastAsiaTheme="minorEastAsia"/>
          <w:b w:val="0"/>
          <w:color w:val="auto"/>
          <w:sz w:val="24"/>
          <w:szCs w:val="24"/>
        </w:rPr>
        <w:t xml:space="preserve"> </w:t>
      </w:r>
      <w:r>
        <w:rPr>
          <w:rFonts w:hint="eastAsia" w:cs="宋体" w:asciiTheme="minorEastAsia" w:hAnsiTheme="minorEastAsia" w:eastAsiaTheme="minorEastAsia"/>
          <w:color w:val="auto"/>
          <w:sz w:val="24"/>
          <w:szCs w:val="24"/>
        </w:rPr>
        <w:t>收费车道系统</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274"/>
    </w:p>
    <w:bookmarkEnd w:id="85"/>
    <w:bookmarkEnd w:id="86"/>
    <w:bookmarkEnd w:id="87"/>
    <w:bookmarkEnd w:id="88"/>
    <w:bookmarkEnd w:id="89"/>
    <w:bookmarkEnd w:id="90"/>
    <w:bookmarkEnd w:id="91"/>
    <w:bookmarkEnd w:id="92"/>
    <w:p>
      <w:pPr>
        <w:spacing w:line="360" w:lineRule="auto"/>
        <w:ind w:firstLine="508" w:firstLineChars="211"/>
        <w:rPr>
          <w:rFonts w:cs="宋体" w:asciiTheme="minorEastAsia" w:hAnsiTheme="minorEastAsia" w:eastAsiaTheme="minorEastAsia"/>
          <w:b/>
          <w:color w:val="auto"/>
          <w:sz w:val="24"/>
          <w:szCs w:val="24"/>
        </w:rPr>
      </w:pPr>
      <w:bookmarkStart w:id="277" w:name="_Toc339451630"/>
      <w:bookmarkStart w:id="278" w:name="_Toc340841591"/>
      <w:bookmarkStart w:id="279" w:name="_Toc341344944"/>
      <w:bookmarkStart w:id="280" w:name="_Toc339457288"/>
      <w:bookmarkStart w:id="281" w:name="_Toc340840392"/>
      <w:bookmarkStart w:id="282" w:name="_Toc339459034"/>
      <w:bookmarkStart w:id="283" w:name="_Toc344132835"/>
      <w:bookmarkStart w:id="284" w:name="_Toc400804570"/>
      <w:r>
        <w:rPr>
          <w:rFonts w:hint="eastAsia" w:cs="宋体" w:asciiTheme="minorEastAsia" w:hAnsiTheme="minorEastAsia" w:eastAsiaTheme="minorEastAsia"/>
          <w:b/>
          <w:color w:val="auto"/>
          <w:sz w:val="24"/>
          <w:szCs w:val="24"/>
        </w:rPr>
        <w:t>（1）ETC客车专用车道</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ETC客车专用车道系统构成：由RSU、主节点（集成费额显示器、车牌识别和自动栏杆机）、LED车道信息屏、雨棚信号灯、车辆检测器、关道节点（集成手动栏杆、雾灯</w:t>
      </w:r>
      <w:r>
        <w:rPr>
          <w:rFonts w:hint="eastAsia" w:asciiTheme="minorEastAsia" w:hAnsiTheme="minorEastAsia" w:eastAsiaTheme="minorEastAsia"/>
          <w:color w:val="auto"/>
          <w:sz w:val="24"/>
        </w:rPr>
        <w:t>、电动限高</w:t>
      </w:r>
      <w:r>
        <w:rPr>
          <w:rFonts w:asciiTheme="minorEastAsia" w:hAnsiTheme="minorEastAsia" w:eastAsiaTheme="minorEastAsia"/>
          <w:color w:val="auto"/>
          <w:sz w:val="24"/>
        </w:rPr>
        <w:t>）等组成。</w:t>
      </w:r>
    </w:p>
    <w:p>
      <w:pPr>
        <w:spacing w:line="360" w:lineRule="auto"/>
        <w:ind w:firstLine="482" w:firstLineChars="200"/>
        <w:rPr>
          <w:rFonts w:asciiTheme="minorEastAsia" w:hAnsiTheme="minorEastAsia" w:eastAsiaTheme="minorEastAsia"/>
          <w:b/>
          <w:color w:val="auto"/>
          <w:sz w:val="24"/>
        </w:rPr>
      </w:pPr>
      <w:r>
        <w:rPr>
          <w:rFonts w:asciiTheme="minorEastAsia" w:hAnsiTheme="minorEastAsia" w:eastAsiaTheme="minorEastAsia"/>
          <w:b/>
          <w:color w:val="auto"/>
          <w:sz w:val="24"/>
        </w:rPr>
        <w:t>ETC车道无需车道控制器，全部采用网络化设备，不再保留收费亭。</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（2）ETC/MTC混合车道</w:t>
      </w:r>
    </w:p>
    <w:p>
      <w:pPr>
        <w:spacing w:line="360" w:lineRule="auto"/>
        <w:ind w:firstLine="480" w:firstLineChars="200"/>
        <w:rPr>
          <w:rFonts w:asciiTheme="minorEastAsia" w:hAnsiTheme="minorEastAsia" w:eastAsiaTheme="minorEastAsia"/>
          <w:color w:val="auto"/>
          <w:sz w:val="24"/>
        </w:rPr>
      </w:pPr>
      <w:bookmarkStart w:id="285" w:name="_Hlk195261546"/>
      <w:r>
        <w:rPr>
          <w:rFonts w:asciiTheme="minorEastAsia" w:hAnsiTheme="minorEastAsia" w:eastAsiaTheme="minorEastAsia"/>
          <w:color w:val="auto"/>
          <w:sz w:val="24"/>
        </w:rPr>
        <w:t>ETC/MTC混合入口车道系统构成：车道控制器、RSU、主节点（集成费额显示器、车牌识别和自动栏杆机）、信息显示屏、雨棚信号灯、车辆检测器、收费员终端(显示器、键盘)、非接触式CPC卡读写器、称重检测（入口治超）、关道节点（集成手动栏杆、雾灯</w:t>
      </w:r>
      <w:r>
        <w:rPr>
          <w:rFonts w:hint="eastAsia" w:asciiTheme="minorEastAsia" w:hAnsiTheme="minorEastAsia" w:eastAsiaTheme="minorEastAsia"/>
          <w:color w:val="auto"/>
          <w:sz w:val="24"/>
        </w:rPr>
        <w:t>、电动限高</w:t>
      </w:r>
      <w:r>
        <w:rPr>
          <w:rFonts w:asciiTheme="minorEastAsia" w:hAnsiTheme="minorEastAsia" w:eastAsiaTheme="minorEastAsia"/>
          <w:color w:val="auto"/>
          <w:sz w:val="24"/>
        </w:rPr>
        <w:t>）等组成。</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ETC/MTC混合出口车道系统构成：由车道控制器、RSU、主节点（集成费额显示器、车牌识别和自动栏杆机）、信息显示屏、雨棚信号灯、车辆检测器、收费员终端(显示器、键盘)、非接触式CPC卡读写器、票据或发票打印机、称重检测（出口复检）、移动支付扫码终端、关道节点（集成手动栏杆、雾灯</w:t>
      </w:r>
      <w:r>
        <w:rPr>
          <w:rFonts w:hint="eastAsia" w:asciiTheme="minorEastAsia" w:hAnsiTheme="minorEastAsia" w:eastAsiaTheme="minorEastAsia"/>
          <w:color w:val="auto"/>
          <w:sz w:val="24"/>
        </w:rPr>
        <w:t>、电动限高</w:t>
      </w:r>
      <w:r>
        <w:rPr>
          <w:rFonts w:asciiTheme="minorEastAsia" w:hAnsiTheme="minorEastAsia" w:eastAsiaTheme="minorEastAsia"/>
          <w:color w:val="auto"/>
          <w:sz w:val="24"/>
        </w:rPr>
        <w:t>）等组成。</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混合车道保留车道控制器，所有混合车道设置自动发卡机/自助缴费机。内侧混合车道为独立式自动发卡/自助缴费车道，取消收费亭。外侧混合车道保留收费亭，与自动发卡机/自助缴费机共用车道设备</w:t>
      </w:r>
      <w:r>
        <w:rPr>
          <w:rFonts w:asciiTheme="minorEastAsia" w:hAnsiTheme="minorEastAsia" w:eastAsiaTheme="minorEastAsia"/>
          <w:b/>
          <w:bCs/>
          <w:color w:val="auto"/>
          <w:sz w:val="24"/>
        </w:rPr>
        <w:t>。</w:t>
      </w:r>
      <w:r>
        <w:rPr>
          <w:rFonts w:hint="eastAsia" w:asciiTheme="minorEastAsia" w:hAnsiTheme="minorEastAsia" w:eastAsiaTheme="minorEastAsia"/>
          <w:b/>
          <w:bCs/>
          <w:color w:val="auto"/>
          <w:sz w:val="24"/>
        </w:rPr>
        <w:t>收费站采用电子发票。</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每个车道天线控制器及车道交换机安装在主节点内置机柜，用于汇聚车道收费数据，然后通过光纤传输至收费广场交换机。收费广场交换机设置于收费亭前仓,收费广场交换机至收费站机房核心交换机采用双链路冗余方式，增强网络可靠性。</w:t>
      </w:r>
    </w:p>
    <w:bookmarkEnd w:id="285"/>
    <w:p>
      <w:pPr>
        <w:pStyle w:val="3"/>
        <w:spacing w:after="48" w:line="360" w:lineRule="auto"/>
        <w:ind w:firstLine="504"/>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TS404.1  </w:t>
      </w:r>
      <w:bookmarkEnd w:id="277"/>
      <w:bookmarkEnd w:id="278"/>
      <w:bookmarkEnd w:id="279"/>
      <w:bookmarkEnd w:id="280"/>
      <w:bookmarkEnd w:id="281"/>
      <w:bookmarkEnd w:id="282"/>
      <w:bookmarkEnd w:id="283"/>
      <w:r>
        <w:rPr>
          <w:rFonts w:hint="eastAsia" w:cs="宋体" w:asciiTheme="minorEastAsia" w:hAnsiTheme="minorEastAsia" w:eastAsiaTheme="minorEastAsia"/>
          <w:color w:val="auto"/>
          <w:sz w:val="24"/>
          <w:szCs w:val="24"/>
        </w:rPr>
        <w:t>主要设备技术要求</w:t>
      </w:r>
      <w:bookmarkEnd w:id="284"/>
    </w:p>
    <w:p>
      <w:pPr>
        <w:pStyle w:val="7"/>
        <w:ind w:firstLine="504"/>
        <w:rPr>
          <w:color w:val="auto"/>
        </w:rPr>
      </w:pPr>
      <w:r>
        <w:rPr>
          <w:rFonts w:hint="eastAsia"/>
          <w:color w:val="auto"/>
        </w:rPr>
        <w:t>TS404.1.1车道控制器</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收费车道设备是以车道控制器为主体，辅以一系列的车道外围设备构成，车道控制器位于收费亭内。</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bookmarkStart w:id="286" w:name="_Toc340840393"/>
      <w:r>
        <w:rPr>
          <w:rFonts w:asciiTheme="minorEastAsia" w:hAnsiTheme="minorEastAsia" w:eastAsiaTheme="minorEastAsia"/>
          <w:color w:val="auto"/>
          <w:sz w:val="24"/>
          <w:szCs w:val="24"/>
        </w:rPr>
        <w:t>采用嵌入式无风扇工业级主机，整机全封闭，辐射式散热，无风扇；</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CPU：主板Intel i5-</w:t>
      </w:r>
      <w:r>
        <w:rPr>
          <w:rFonts w:hint="eastAsia" w:asciiTheme="minorEastAsia" w:hAnsiTheme="minorEastAsia" w:eastAsiaTheme="minorEastAsia"/>
          <w:color w:val="auto"/>
          <w:sz w:val="24"/>
          <w:szCs w:val="24"/>
        </w:rPr>
        <w:t>7500</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内存：标准配置</w:t>
      </w:r>
      <w:r>
        <w:rPr>
          <w:rFonts w:hint="eastAsia" w:asciiTheme="minorEastAsia" w:hAnsiTheme="minorEastAsia" w:eastAsiaTheme="minorEastAsia"/>
          <w:color w:val="auto"/>
          <w:sz w:val="24"/>
          <w:szCs w:val="24"/>
        </w:rPr>
        <w:t>16</w:t>
      </w:r>
      <w:r>
        <w:rPr>
          <w:rFonts w:asciiTheme="minorEastAsia" w:hAnsiTheme="minorEastAsia" w:eastAsiaTheme="minorEastAsia"/>
          <w:color w:val="auto"/>
          <w:sz w:val="24"/>
          <w:szCs w:val="24"/>
        </w:rPr>
        <w:t>GB双通道DDR4内存；</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硬盘：双硬盘；标准配置为250G以上固态硬盘</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外加扩展一块机械硬盘，容量为1T；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音频接口：主板封装1路音频输入，1路立体音频输出；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显示：HDMI及VGA；</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总线扩展：2路PCI总线插槽；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USB接口：主板封装不低于</w:t>
      </w:r>
      <w:r>
        <w:rPr>
          <w:rFonts w:hint="eastAsia" w:asciiTheme="minorEastAsia" w:hAnsiTheme="minorEastAsia" w:eastAsiaTheme="minorEastAsia"/>
          <w:color w:val="auto"/>
          <w:sz w:val="24"/>
          <w:szCs w:val="24"/>
        </w:rPr>
        <w:t>6</w:t>
      </w:r>
      <w:r>
        <w:rPr>
          <w:rFonts w:asciiTheme="minorEastAsia" w:hAnsiTheme="minorEastAsia" w:eastAsiaTheme="minorEastAsia"/>
          <w:color w:val="auto"/>
          <w:sz w:val="24"/>
          <w:szCs w:val="24"/>
        </w:rPr>
        <w:t>路USB；</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网络接口：主板封装不低于</w:t>
      </w:r>
      <w:r>
        <w:rPr>
          <w:rFonts w:hint="eastAsia" w:asciiTheme="minorEastAsia" w:hAnsiTheme="minorEastAsia" w:eastAsiaTheme="minorEastAsia"/>
          <w:color w:val="auto"/>
          <w:sz w:val="24"/>
          <w:szCs w:val="24"/>
        </w:rPr>
        <w:t>4</w:t>
      </w:r>
      <w:r>
        <w:rPr>
          <w:rFonts w:asciiTheme="minorEastAsia" w:hAnsiTheme="minorEastAsia" w:eastAsiaTheme="minorEastAsia"/>
          <w:color w:val="auto"/>
          <w:sz w:val="24"/>
          <w:szCs w:val="24"/>
        </w:rPr>
        <w:t>路10/100/</w:t>
      </w:r>
      <w:r>
        <w:rPr>
          <w:rFonts w:asciiTheme="minorEastAsia" w:hAnsiTheme="minorEastAsia" w:eastAsiaTheme="minorEastAsia"/>
          <w:color w:val="auto"/>
          <w:sz w:val="24"/>
          <w:szCs w:val="24"/>
        </w:rPr>
        <w:t>1000Mbps自适应网络接口，可分配独立IP地址，具备浪涌保护功能；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串行数据接口：主板封装8路RS-232数据接口；</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输入输出（I/O单元）：主板封装24路数字I/O，所有设备控制皆通过数字I/O实现</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机箱采用全封闭式设计，防护等级为IP55；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人性化设计：I/O状态指示、内置LED继电器状态显示；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工作温度：-25～55</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；存储温度：-40～80</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MTBF：50,000小时；MTTR：≤l小时；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软件支持： Windows 7及更高版本Windows系统、LINUX。</w:t>
      </w:r>
    </w:p>
    <w:p>
      <w:pPr>
        <w:pStyle w:val="7"/>
        <w:ind w:firstLine="504"/>
        <w:rPr>
          <w:color w:val="auto"/>
        </w:rPr>
      </w:pPr>
      <w:r>
        <w:rPr>
          <w:rFonts w:hint="eastAsia"/>
          <w:color w:val="auto"/>
        </w:rPr>
        <w:t>TS404.1.2 车道工控机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CPU：主板Intel i5-</w:t>
      </w:r>
      <w:r>
        <w:rPr>
          <w:rFonts w:hint="eastAsia" w:asciiTheme="minorEastAsia" w:hAnsiTheme="minorEastAsia" w:eastAsiaTheme="minorEastAsia"/>
          <w:color w:val="auto"/>
          <w:sz w:val="24"/>
          <w:szCs w:val="24"/>
        </w:rPr>
        <w:t>7500；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内存：标准配置</w:t>
      </w:r>
      <w:r>
        <w:rPr>
          <w:rFonts w:hint="eastAsia" w:asciiTheme="minorEastAsia" w:hAnsiTheme="minorEastAsia" w:eastAsiaTheme="minorEastAsia"/>
          <w:color w:val="auto"/>
          <w:sz w:val="24"/>
          <w:szCs w:val="24"/>
        </w:rPr>
        <w:t>16</w:t>
      </w:r>
      <w:r>
        <w:rPr>
          <w:rFonts w:asciiTheme="minorEastAsia" w:hAnsiTheme="minorEastAsia" w:eastAsiaTheme="minorEastAsia"/>
          <w:color w:val="auto"/>
          <w:sz w:val="24"/>
          <w:szCs w:val="24"/>
        </w:rPr>
        <w:t>GB双通道DDR4内存</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硬盘：双硬盘；标准配置为250G以上固态硬盘</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外加扩展一块机械硬盘，容量为1T</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音频接口：主板封装1路音频输入，1路立体音频输出</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显示</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HDMI及VGA</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总线扩展：2路PCI总线插槽；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USB接口：主板封装不低于</w:t>
      </w:r>
      <w:r>
        <w:rPr>
          <w:rFonts w:hint="eastAsia" w:asciiTheme="minorEastAsia" w:hAnsiTheme="minorEastAsia" w:eastAsiaTheme="minorEastAsia"/>
          <w:color w:val="auto"/>
          <w:sz w:val="24"/>
          <w:szCs w:val="24"/>
        </w:rPr>
        <w:t>6</w:t>
      </w:r>
      <w:r>
        <w:rPr>
          <w:rFonts w:asciiTheme="minorEastAsia" w:hAnsiTheme="minorEastAsia" w:eastAsiaTheme="minorEastAsia"/>
          <w:color w:val="auto"/>
          <w:sz w:val="24"/>
          <w:szCs w:val="24"/>
        </w:rPr>
        <w:t>路USB；</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网络接口：</w:t>
      </w:r>
      <w:r>
        <w:rPr>
          <w:rFonts w:hint="eastAsia" w:asciiTheme="minorEastAsia" w:hAnsiTheme="minorEastAsia" w:eastAsiaTheme="minorEastAsia"/>
          <w:color w:val="auto"/>
          <w:sz w:val="24"/>
          <w:szCs w:val="24"/>
        </w:rPr>
        <w:t>主板封装不低于4路10/100/1000Mbps自适应网络接口，可分配独立IP地址，具备浪涌保护功能</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串行数据接口：主板封装8路RS-232数据接口</w:t>
      </w:r>
      <w:r>
        <w:rPr>
          <w:rFonts w:hint="eastAsia" w:asciiTheme="minorEastAsia" w:hAnsiTheme="minorEastAsia" w:eastAsiaTheme="minorEastAsia"/>
          <w:color w:val="auto"/>
          <w:sz w:val="24"/>
          <w:szCs w:val="24"/>
        </w:rPr>
        <w:t>。</w:t>
      </w:r>
    </w:p>
    <w:p>
      <w:pPr>
        <w:pStyle w:val="7"/>
        <w:ind w:firstLine="504"/>
        <w:rPr>
          <w:color w:val="auto"/>
        </w:rPr>
      </w:pPr>
      <w:r>
        <w:rPr>
          <w:rFonts w:hint="eastAsia"/>
          <w:color w:val="auto"/>
        </w:rPr>
        <w:t>TS404.1.3 收费员终端</w:t>
      </w:r>
    </w:p>
    <w:p>
      <w:pPr>
        <w:adjustRightInd w:val="0"/>
        <w:snapToGrid w:val="0"/>
        <w:spacing w:line="360" w:lineRule="auto"/>
        <w:ind w:left="48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1、显示器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22英寸 IPS屏显示器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分辨率1920×1080；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点距： 0.275mm；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响应时间：≤5ms；</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对比度：1000：1；</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平均亮度：250cd/m</w:t>
      </w:r>
      <w:r>
        <w:rPr>
          <w:rFonts w:hint="eastAsia" w:asciiTheme="minorEastAsia" w:hAnsiTheme="minorEastAsia" w:eastAsiaTheme="minorEastAsia"/>
          <w:color w:val="auto"/>
          <w:sz w:val="24"/>
          <w:szCs w:val="24"/>
          <w:vertAlign w:val="superscript"/>
        </w:rPr>
        <w:t>2</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TCO 认证。</w:t>
      </w:r>
    </w:p>
    <w:p>
      <w:pPr>
        <w:adjustRightInd w:val="0"/>
        <w:snapToGrid w:val="0"/>
        <w:spacing w:line="360" w:lineRule="auto"/>
        <w:ind w:left="48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2、专用键盘</w:t>
      </w:r>
      <w:bookmarkEnd w:id="286"/>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投标人应按《安</w:t>
      </w:r>
      <w:r>
        <w:rPr>
          <w:rFonts w:hint="eastAsia" w:cs="宋体" w:asciiTheme="minorEastAsia" w:hAnsiTheme="minorEastAsia" w:eastAsiaTheme="minorEastAsia"/>
          <w:bCs/>
          <w:color w:val="auto"/>
          <w:kern w:val="0"/>
          <w:sz w:val="24"/>
          <w:szCs w:val="24"/>
          <w:lang w:val="zh-CN"/>
        </w:rPr>
        <w:t>徽省高速公路联网收费技术规范</w:t>
      </w:r>
      <w:r>
        <w:rPr>
          <w:rFonts w:hint="eastAsia" w:cs="宋体" w:asciiTheme="minorEastAsia" w:hAnsiTheme="minorEastAsia" w:eastAsiaTheme="minorEastAsia"/>
          <w:bCs/>
          <w:color w:val="auto"/>
          <w:sz w:val="24"/>
          <w:szCs w:val="24"/>
        </w:rPr>
        <w:t>》等文件采购满足要求的键盘。</w:t>
      </w:r>
      <w:bookmarkStart w:id="287" w:name="_Toc340840395"/>
      <w:bookmarkStart w:id="288" w:name="_Toc340840394"/>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1）主要功能</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（1）键盘上的各种键不会因为重复使用而出现错误登记。如果收费员按键操作顺序发生错误，则键盘不能正常工作，收费员只有按规定正确操作，才能完成收费过程登记，否则操作无效。</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（2）键帽字符印刷中文文字，直接标注该键操作功能。键帽采用双层结构，内层为激光打标或者文字印刷，外层为透明罩，使键帽字文字和符号的设计符合人机工程原理，清晰易识，不易磨损。</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（3）键盘能提供一些定制（功能）键和备用键。具体个数按键位布局图按要求制作。对有功能分区要求的键盘，不同区域选不同颜色的键帽，以示区分，如红、黄、蓝、绿、白等。</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（4）每键之间有合适的间隔，常用键比一般键尺寸要大用四倍键和二倍键。</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（5）尽量减少键的数量，满足全车牌收费系统工程的需要。</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2）线缆连接；</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收费专用键盘采用迷你卡侬头与键盘可拆式连接，将线缆插头按钮对准插座缺口轻轻插入即可可靠联接，按下按钮即可轻轻拔出。</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应按下列步骤进行安装：</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（1）将键盘的通讯线接好。</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（2）此时键盘的指示灯（位于键盘左上角）将被点亮。</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（3）完成电气连接，即可开始正常工作。如不能正常工作，</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3）技术规范；</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（1）外壳根据客户要求制作钢板喷塑加工。</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（2）按键开关采用进口高可靠长寿命的二段式机械开关，手感舒适。针对各按键使用频率，部分按键使用双倍键、4倍键，以提高使用寿命</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（3）键帽采用双层结构，保证在使用寿命期限内字符不磨损。</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（4）键码、键帽印刷中文字符，具体内容按布局要求制作。</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（5）键盘设有防水、防尘保护膜，防腐、密封、防护等级不低于IP56。</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（6）采用多重屏蔽措施，有抗电磁干扰措施，以确保在强电磁场干扰环境中能可靠使用。电路芯片考究、成熟，可靠性好保证在强电磁干扰环境中能可靠地使用。</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（7）接口设置采用迷你卡侬头与键盘可拆式连接，方便键盘的更换，减少对上位置的走线干扰；将线缆插头按钮对准插座缺口轻轻插入即可可靠联接，按下按钮即可轻轻拔出。接口PS/2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（8）工作电压：5V  DC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（9）工作电流：≤250mA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（10）工作环境要求：工作温度：-25～55℃ ；工作湿度：10～90%RH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（11）平均无故障时间MTBF：≥10000小时。</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（12）按键的机械寿命：≥2千万小时。</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4）按键开关技术性能</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（1）操作力：65±20CN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（2）双键按力：110CN以上</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（3）电  压：12V  AC、DC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（4）电  流：10mA  AC、DC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（5）寿  命：≥20×10</w:t>
      </w:r>
      <w:r>
        <w:rPr>
          <w:rFonts w:hint="eastAsia" w:cs="宋体" w:asciiTheme="minorEastAsia" w:hAnsiTheme="minorEastAsia" w:eastAsiaTheme="minorEastAsia"/>
          <w:color w:val="auto"/>
          <w:sz w:val="24"/>
          <w:szCs w:val="24"/>
          <w:vertAlign w:val="superscript"/>
        </w:rPr>
        <w:t>7</w:t>
      </w:r>
      <w:r>
        <w:rPr>
          <w:rFonts w:hint="eastAsia" w:cs="宋体" w:asciiTheme="minorEastAsia" w:hAnsiTheme="minorEastAsia" w:eastAsiaTheme="minorEastAsia"/>
          <w:color w:val="auto"/>
          <w:sz w:val="24"/>
          <w:szCs w:val="24"/>
        </w:rPr>
        <w:t xml:space="preserve"> 次</w:t>
      </w:r>
    </w:p>
    <w:p>
      <w:pPr>
        <w:pStyle w:val="7"/>
        <w:ind w:firstLine="504"/>
        <w:rPr>
          <w:color w:val="auto"/>
        </w:rPr>
      </w:pPr>
      <w:r>
        <w:rPr>
          <w:rFonts w:hint="eastAsia"/>
          <w:color w:val="auto"/>
        </w:rPr>
        <w:t>TS404.1.4 双通道车辆检测器</w:t>
      </w:r>
      <w:bookmarkEnd w:id="287"/>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1、车辆检测器采用环形线圈检测器，它由埋在每条车道出口处路面下的环形线圈和设于车道控制器内的检测器构成。每个收费站每一条出、入口车道均设置1套双通道车辆检测器。每套车辆检测器带2组环形线圈。1组位于收费亭位置，用于控制车道计算机图像采集卡抓拍车辆头部图像；1组位于岛尾，用于统计驶入、驶出车道的车辆数和控制通行信号灯、自动栏杆的动作。</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2、车辆检测器应可以检测通过本路的各种车辆。当拖挂车通过检测器时应判为一辆车；当两辆车快速、慢速或相距很近地通过检测器时，应判为两辆车。</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3、各车道的检测器不能互相干扰。金属物体在两车道之间的收费岛上移动时，不能影响检测器的性能和精度。</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4、当车道处于关闭状态时，检测器通常应仍处于工作状态，以检测在车道关闭时的违章车辆。当有违章车辆通过时，应能引起系统报警，直至事情处理完毕。</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5、环形线圈安装包括以下内容，但不局限于此：开槽、布线、封装（填充适当的填充剂）。</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6、主要的技术指标：</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自协调范围：30~200KHz，四级可调；</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灵敏度：8级可调；</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频率：</w:t>
      </w:r>
      <w:r>
        <w:rPr>
          <w:rFonts w:asciiTheme="minorEastAsia" w:hAnsiTheme="minorEastAsia" w:eastAsiaTheme="minorEastAsia"/>
          <w:color w:val="auto"/>
          <w:sz w:val="24"/>
          <w:szCs w:val="24"/>
        </w:rPr>
        <w:t>30～200KHz</w:t>
      </w:r>
      <w:r>
        <w:rPr>
          <w:rFonts w:hint="eastAsia" w:asciiTheme="minorEastAsia" w:hAnsiTheme="minorEastAsia" w:eastAsiaTheme="minorEastAsia"/>
          <w:color w:val="auto"/>
          <w:sz w:val="24"/>
          <w:szCs w:val="24"/>
        </w:rPr>
        <w:t>，四级可调；</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电源要求：DC12V；</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工作环境：操作温度：-20℃—+65℃；存储温度：-40℃—+85℃；相对湿度：最大95%（无冷凝）；</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配雷电及瞬间过高电压保护装置；</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埋设后的环形线圈绝缘电阻：＞500M</w:t>
      </w:r>
      <w:r>
        <w:rPr>
          <w:rFonts w:ascii="Times New Roman" w:hAnsi="Times New Roman" w:cs="Times New Roman" w:eastAsiaTheme="minorEastAsia"/>
          <w:color w:val="auto"/>
          <w:sz w:val="24"/>
          <w:szCs w:val="24"/>
        </w:rPr>
        <w:t>Ω</w:t>
      </w:r>
      <w:r>
        <w:rPr>
          <w:rFonts w:hint="eastAsia" w:cs="宋体" w:asciiTheme="minorEastAsia" w:hAnsiTheme="minorEastAsia" w:eastAsiaTheme="minorEastAsia"/>
          <w:color w:val="auto"/>
          <w:sz w:val="24"/>
          <w:szCs w:val="24"/>
        </w:rPr>
        <w:t>（</w:t>
      </w:r>
      <w:r>
        <w:rPr>
          <w:rFonts w:hint="eastAsia" w:asciiTheme="minorEastAsia" w:hAnsiTheme="minorEastAsia" w:eastAsiaTheme="minorEastAsia"/>
          <w:color w:val="auto"/>
          <w:sz w:val="24"/>
          <w:szCs w:val="24"/>
        </w:rPr>
        <w:t>DC500V时）；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检测器适应线圈电感应量范围：20～1000</w:t>
      </w:r>
      <w:r>
        <w:rPr>
          <w:rFonts w:hint="eastAsia" w:asciiTheme="minorEastAsia" w:hAnsiTheme="minorEastAsia" w:eastAsiaTheme="minorEastAsia"/>
          <w:color w:val="auto"/>
          <w:sz w:val="24"/>
          <w:szCs w:val="24"/>
        </w:rPr>
        <w:sym w:font="Symbol" w:char="F06D"/>
      </w:r>
      <w:r>
        <w:rPr>
          <w:rFonts w:hint="eastAsia" w:asciiTheme="minorEastAsia" w:hAnsiTheme="minorEastAsia" w:eastAsiaTheme="minorEastAsia"/>
          <w:color w:val="auto"/>
          <w:sz w:val="24"/>
          <w:szCs w:val="24"/>
        </w:rPr>
        <w:t>H（由频率确定）；</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检测线圈的填充剂要保证低温不断裂，高温不软化。</w:t>
      </w:r>
    </w:p>
    <w:p>
      <w:pPr>
        <w:pStyle w:val="7"/>
        <w:ind w:firstLine="504"/>
        <w:rPr>
          <w:color w:val="auto"/>
        </w:rPr>
      </w:pPr>
      <w:r>
        <w:rPr>
          <w:rFonts w:hint="eastAsia"/>
          <w:color w:val="auto"/>
        </w:rPr>
        <w:t>TS404.1.5 CPC卡读写器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工作频率：13.56MHz；</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读写误码率：＜10</w:t>
      </w:r>
      <w:r>
        <w:rPr>
          <w:rFonts w:hint="eastAsia" w:asciiTheme="minorEastAsia" w:hAnsiTheme="minorEastAsia" w:eastAsiaTheme="minorEastAsia"/>
          <w:color w:val="auto"/>
          <w:sz w:val="24"/>
          <w:szCs w:val="24"/>
          <w:vertAlign w:val="superscript"/>
        </w:rPr>
        <w:t>-6</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读写距离：0～100mm；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用SM4加密算法和随机函数相结合的技术手段完成卡和读写器间的双向识别；</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RS232接口与车道控制器连接；</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MTBF大于20000小时，MTTR小于0.5小时；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环境温度：-40℃ ～+50℃；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环境湿度：20%～80%；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电源AC220V±10%  50Hz±3Hz。</w:t>
      </w:r>
    </w:p>
    <w:p>
      <w:pPr>
        <w:pStyle w:val="7"/>
        <w:ind w:firstLine="504"/>
        <w:rPr>
          <w:color w:val="auto"/>
        </w:rPr>
      </w:pPr>
      <w:r>
        <w:rPr>
          <w:rFonts w:hint="eastAsia"/>
          <w:color w:val="auto"/>
        </w:rPr>
        <w:t>TS404.1.6 雨棚信号灯</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LED光源技术要求：</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超高亮度红色LED光源：直径5mm，应由2个以上超高亮度红色LED组成，光源波长626nm，亮度＞4000mcd；</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超高亮度纯绿LED光源：直径5mm，应由2个以上超高亮度纯绿LED组成，光源波长515～525nm，亮度＞3000mcd；</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半功率角：30°。</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雨棚信号灯技术要求：</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尺寸：600×600mm，带遮阳罩，黑色机箱，防水、防尘、防锈设计，密封性IP55；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像素：每只像素封装2只以上LED管，图案每排2只像素以上；</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 “红色×”的方式工作；</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电源：AC220V±15%，50Hz±3Hz；</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MTBF：50,000小时；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MTTR：0.5小时；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温度范围：-20℃～+60℃；</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LED 车道信息屏</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显示尺寸：≥</w:t>
      </w:r>
      <w:r>
        <w:rPr>
          <w:rFonts w:asciiTheme="minorEastAsia" w:hAnsiTheme="minorEastAsia" w:eastAsiaTheme="minorEastAsia"/>
          <w:color w:val="auto"/>
          <w:sz w:val="24"/>
          <w:szCs w:val="24"/>
        </w:rPr>
        <w:t xml:space="preserve"> 2</w:t>
      </w:r>
      <w:r>
        <w:rPr>
          <w:rFonts w:hint="eastAsia" w:asciiTheme="minorEastAsia" w:hAnsiTheme="minorEastAsia" w:eastAsiaTheme="minorEastAsia"/>
          <w:color w:val="auto"/>
          <w:sz w:val="24"/>
          <w:szCs w:val="24"/>
        </w:rPr>
        <w:t>000</w:t>
      </w:r>
      <w:r>
        <w:rPr>
          <w:rFonts w:asciiTheme="minorEastAsia" w:hAnsiTheme="minorEastAsia" w:eastAsiaTheme="minorEastAsia"/>
          <w:color w:val="auto"/>
          <w:sz w:val="24"/>
          <w:szCs w:val="24"/>
        </w:rPr>
        <w:t>MM</w:t>
      </w:r>
      <w:r>
        <w:rPr>
          <w:rFonts w:hint="eastAsia" w:asciiTheme="minorEastAsia" w:hAnsiTheme="minorEastAsia" w:eastAsiaTheme="minorEastAsia"/>
          <w:color w:val="auto"/>
          <w:sz w:val="24"/>
          <w:szCs w:val="24"/>
        </w:rPr>
        <w:t>宽</w:t>
      </w:r>
      <w:r>
        <w:rPr>
          <w:rFonts w:asciiTheme="minorEastAsia" w:hAnsiTheme="minorEastAsia" w:eastAsiaTheme="minorEastAsia"/>
          <w:color w:val="auto"/>
          <w:sz w:val="24"/>
          <w:szCs w:val="24"/>
        </w:rPr>
        <w:t>*1000MM</w:t>
      </w:r>
      <w:r>
        <w:rPr>
          <w:rFonts w:hint="eastAsia" w:asciiTheme="minorEastAsia" w:hAnsiTheme="minorEastAsia" w:eastAsiaTheme="minorEastAsia"/>
          <w:color w:val="auto"/>
          <w:sz w:val="24"/>
          <w:szCs w:val="24"/>
        </w:rPr>
        <w:t>高；</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轻量化结构，可以自然散热；</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点间距：≤P15.625mm；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显示屏发光像素由双基色发光二极管（LED） 组成，可显示红绿黄三色；</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每套屏由上竖屏与折面屏组成，上竖屏与水平面垂直；</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驱动模式：静态恒流，具有过流保护功能；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宋体" w:hAnsi="宋体"/>
          <w:color w:val="auto"/>
          <w:sz w:val="24"/>
          <w:szCs w:val="24"/>
        </w:rPr>
        <w:t>显示亮度：≥8000cd/㎡</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显示屏发光亮度≥ 32级亮度可调；显示屏整屏亮度均匀度≥95%；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整屏视认角≥30°；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显示模块内各像素点间距允许误差 1mm，不平整度≤2mm/m</w:t>
      </w:r>
      <w:r>
        <w:rPr>
          <w:rFonts w:asciiTheme="minorEastAsia" w:hAnsiTheme="minorEastAsia" w:eastAsiaTheme="minorEastAsia"/>
          <w:color w:val="auto"/>
          <w:sz w:val="24"/>
          <w:szCs w:val="24"/>
        </w:rPr>
        <w:t>²</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像素的年失控率≤1‰，离散型；</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整体重量：≤50KG；</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屏体厚度：≤70mm； </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工作电压：AC220V±20%； </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工作环境温度：-20℃～50℃； 工作环境湿度：10%～90%；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前后防护等级：≥IP65；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通信方式：TCP/IP 网口通信接口。</w:t>
      </w:r>
    </w:p>
    <w:p>
      <w:pPr>
        <w:pStyle w:val="7"/>
        <w:ind w:firstLine="504"/>
        <w:rPr>
          <w:color w:val="auto"/>
        </w:rPr>
      </w:pPr>
      <w:r>
        <w:rPr>
          <w:rFonts w:hint="eastAsia"/>
          <w:color w:val="auto"/>
        </w:rPr>
        <w:t>TS404.1.7 关道节点</w:t>
      </w:r>
    </w:p>
    <w:p>
      <w:pPr>
        <w:adjustRightInd w:val="0"/>
        <w:snapToGrid w:val="0"/>
        <w:spacing w:line="360" w:lineRule="auto"/>
        <w:ind w:left="480"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主要由雾灯与电动关道栏杆组成，通过指令或设备的按键可以实现抬落杆、限高功能，达到打开或关闭车道、限高的目的，其中雾灯具有多盏同步闪烁功能，关道节点采用IP化接口，同时预留有本地控制按钮。</w:t>
      </w:r>
      <w:r>
        <w:rPr>
          <w:rFonts w:asciiTheme="minorEastAsia" w:hAnsiTheme="minorEastAsia" w:eastAsiaTheme="minorEastAsia"/>
          <w:color w:val="auto"/>
          <w:sz w:val="24"/>
          <w:szCs w:val="24"/>
        </w:rPr>
        <w:t>具有</w:t>
      </w:r>
      <w:r>
        <w:rPr>
          <w:rFonts w:hint="eastAsia" w:asciiTheme="minorEastAsia" w:hAnsiTheme="minorEastAsia" w:eastAsiaTheme="minorEastAsia"/>
          <w:color w:val="auto"/>
          <w:sz w:val="24"/>
          <w:szCs w:val="24"/>
        </w:rPr>
        <w:t>车道</w:t>
      </w:r>
      <w:r>
        <w:rPr>
          <w:rFonts w:asciiTheme="minorEastAsia" w:hAnsiTheme="minorEastAsia" w:eastAsiaTheme="minorEastAsia"/>
          <w:color w:val="auto"/>
          <w:sz w:val="24"/>
          <w:szCs w:val="24"/>
        </w:rPr>
        <w:t>通行指示LED点阵屏，可显示</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七座及以下小型客车专用行驶通道</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车道关闭</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车道维护</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等信息</w:t>
      </w:r>
      <w:r>
        <w:rPr>
          <w:rFonts w:hint="eastAsia" w:asciiTheme="minorEastAsia" w:hAnsiTheme="minorEastAsia" w:eastAsiaTheme="minorEastAsia"/>
          <w:color w:val="auto"/>
          <w:sz w:val="24"/>
          <w:szCs w:val="24"/>
        </w:rPr>
        <w:t>或自定义信息发布</w:t>
      </w:r>
      <w:r>
        <w:rPr>
          <w:rFonts w:asciiTheme="minorEastAsia" w:hAnsiTheme="minorEastAsia" w:eastAsiaTheme="minorEastAsia"/>
          <w:color w:val="auto"/>
          <w:sz w:val="24"/>
          <w:szCs w:val="24"/>
        </w:rPr>
        <w:t>；LED全彩电子交通指示牌，可显示限高、限速等标志标牌类信息。</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电源电压：AC220V/50HZ；</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行程时间：抬落杆＜30s；上下行程＜30s；</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杆臂长度：≥3500mm；</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车道信息显示屏：P4.75双色LED点阵屏，亮度＞4500cd/㎡，可显示“车道关闭”、“车道维护”等信息；</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杆臂下边缘距水平地面的高度在650mm～950mm之间。</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升降电机：采用数字步进伺服电机；</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升降区间（可通过LCD屏设置）：限高状态距岛面2100mm，封道状态距岛面950mm；</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岛面高度设置：支持；</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禁行高度设置：支持；</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限高高度设置：支持；</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下降防护功能：支持；</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防撞功能：支持；</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配有LED圆形电子交通指示标志牌：P6.25全彩，亮度＞4500 cd/㎡；可显示限高、限速标志;</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雾灯参数：</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可视距离：浓雾天＞300m；</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半值角：15°；</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发光直径：≥Φ185mm；</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闪烁频率：≥1Hz，支持多台设备自组网同步闪烁；</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灯光颜色：黄色；</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波长：589-595 nm；</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亮度：≥13000 mcd。</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通信接口：RS232/485、开关量、RJ45；</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具有黄闪报警器；</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防护等级：IP65；</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功耗：＜500W；</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工作温度：-40℃～50℃；</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工作湿度：10%-95%RH；</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MTBF: ≥15000h；</w:t>
      </w:r>
    </w:p>
    <w:p>
      <w:pPr>
        <w:numPr>
          <w:ilvl w:val="0"/>
          <w:numId w:val="1"/>
        </w:numPr>
        <w:spacing w:line="360" w:lineRule="auto"/>
        <w:ind w:left="726" w:firstLine="506"/>
        <w:rPr>
          <w:rFonts w:asciiTheme="minorEastAsia" w:hAnsiTheme="minorEastAsia" w:eastAsiaTheme="minorEastAsia"/>
          <w:color w:val="auto"/>
          <w:sz w:val="24"/>
        </w:rPr>
      </w:pPr>
      <w:r>
        <w:rPr>
          <w:rFonts w:hint="eastAsia" w:asciiTheme="minorEastAsia" w:hAnsiTheme="minorEastAsia" w:eastAsiaTheme="minorEastAsia"/>
          <w:color w:val="auto"/>
          <w:sz w:val="24"/>
        </w:rPr>
        <w:t>MTTR: &lt;0.5h；</w:t>
      </w:r>
    </w:p>
    <w:p>
      <w:pPr>
        <w:numPr>
          <w:ilvl w:val="0"/>
          <w:numId w:val="1"/>
        </w:numPr>
        <w:spacing w:line="360" w:lineRule="auto"/>
        <w:ind w:left="726" w:firstLine="506"/>
        <w:rPr>
          <w:rFonts w:asciiTheme="minorEastAsia" w:hAnsiTheme="minorEastAsia" w:eastAsiaTheme="minorEastAsia"/>
          <w:color w:val="auto"/>
          <w:sz w:val="24"/>
        </w:rPr>
      </w:pPr>
      <w:r>
        <w:rPr>
          <w:rFonts w:asciiTheme="minorEastAsia" w:hAnsiTheme="minorEastAsia" w:eastAsiaTheme="minorEastAsia"/>
          <w:color w:val="auto"/>
          <w:sz w:val="24"/>
        </w:rPr>
        <w:t>安装方式：落地式</w:t>
      </w:r>
      <w:r>
        <w:rPr>
          <w:rFonts w:hint="eastAsia" w:asciiTheme="minorEastAsia" w:hAnsiTheme="minorEastAsia" w:eastAsiaTheme="minorEastAsia"/>
          <w:color w:val="auto"/>
          <w:sz w:val="24"/>
        </w:rPr>
        <w:t>。</w:t>
      </w:r>
    </w:p>
    <w:p>
      <w:pPr>
        <w:pStyle w:val="7"/>
        <w:ind w:firstLine="504"/>
        <w:rPr>
          <w:color w:val="auto"/>
        </w:rPr>
      </w:pPr>
      <w:r>
        <w:rPr>
          <w:rFonts w:hint="eastAsia"/>
          <w:color w:val="auto"/>
        </w:rPr>
        <w:t>TS404.1.8主节点</w:t>
      </w:r>
    </w:p>
    <w:p>
      <w:pPr>
        <w:adjustRightInd w:val="0"/>
        <w:snapToGrid w:val="0"/>
        <w:spacing w:line="360" w:lineRule="auto"/>
        <w:ind w:firstLine="480" w:firstLineChars="200"/>
        <w:rPr>
          <w:rFonts w:asciiTheme="minorEastAsia" w:hAnsiTheme="minorEastAsia" w:eastAsiaTheme="minorEastAsia"/>
          <w:color w:val="auto"/>
          <w:sz w:val="24"/>
          <w:szCs w:val="24"/>
        </w:rPr>
      </w:pPr>
      <w:bookmarkStart w:id="289" w:name="_Toc163207852"/>
      <w:r>
        <w:rPr>
          <w:rFonts w:asciiTheme="minorEastAsia" w:hAnsiTheme="minorEastAsia" w:eastAsiaTheme="minorEastAsia"/>
          <w:color w:val="auto"/>
          <w:sz w:val="24"/>
          <w:szCs w:val="24"/>
        </w:rPr>
        <w:t>主节点是集栏杆机、车牌识别、费额显示屏、报警灯、通行灯和内置机柜</w:t>
      </w:r>
      <w:r>
        <w:rPr>
          <w:rFonts w:hint="eastAsia" w:asciiTheme="minorEastAsia" w:hAnsiTheme="minorEastAsia" w:eastAsiaTheme="minorEastAsia"/>
          <w:color w:val="auto"/>
          <w:sz w:val="24"/>
          <w:szCs w:val="24"/>
        </w:rPr>
        <w:t>、工业空调</w:t>
      </w:r>
      <w:r>
        <w:rPr>
          <w:rFonts w:asciiTheme="minorEastAsia" w:hAnsiTheme="minorEastAsia" w:eastAsiaTheme="minorEastAsia"/>
          <w:color w:val="auto"/>
          <w:sz w:val="24"/>
          <w:szCs w:val="24"/>
        </w:rPr>
        <w:t>于一体</w:t>
      </w:r>
      <w:r>
        <w:rPr>
          <w:rFonts w:hint="eastAsia" w:asciiTheme="minorEastAsia" w:hAnsiTheme="minorEastAsia" w:eastAsiaTheme="minorEastAsia"/>
          <w:color w:val="auto"/>
          <w:sz w:val="24"/>
          <w:szCs w:val="24"/>
        </w:rPr>
        <w:t>化</w:t>
      </w:r>
      <w:r>
        <w:rPr>
          <w:rFonts w:asciiTheme="minorEastAsia" w:hAnsiTheme="minorEastAsia" w:eastAsiaTheme="minorEastAsia"/>
          <w:color w:val="auto"/>
          <w:sz w:val="24"/>
          <w:szCs w:val="24"/>
        </w:rPr>
        <w:t>设备。在实现应有的多元化功能下，简化结构、减少设备安装工作，提高工作效率。</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防砸防撞功能：在栏杆机落杆过程中，栏杆臂与水平面夹角大于15°的范围内，如有车辆驶入线圈感应区，栏杆臂将自动抬起，防止砸车。栏杆臂夹头采用可脱开的回转式设计，在受撞击时栏杆臂可脱出夹头，避免对栏杆机内部传动机构造成损伤。</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断电抬杆功能：设备意外断电时，处于落杆状态的栏杆臂将自动抬起，防止因意外断电而对误入车道的车辆和设备造成损伤。</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车牌抓拍功能：车牌识别与栏杆机集成于一体，使车道外观更加简洁美观，同时减少车道的工程量降低成本。</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信息显示：一体化显示屏可显示通行车辆车牌、费额等信息，司机可以更好的了解车道通行状态和车辆信息，简化收费流程，极大的提高通行效率。</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通行灯功能：通行灯可显示当前车道的通行状态。</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报警提示功能：当有闯关、设备故障等状态时，可通过报警器报警提示。</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内置机架式机柜：内部预留大空间用于现场放置车道天线控制器、车道机、显示器等。</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空调制冷：侧面安装工业空调，可有效降低设备内部温度。</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语音播报功能：内置功放控制器，可自定义语音内容。</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主要技术参数：</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电压：</w:t>
      </w:r>
      <w:r>
        <w:rPr>
          <w:rFonts w:asciiTheme="minorEastAsia" w:hAnsiTheme="minorEastAsia" w:eastAsiaTheme="minorEastAsia"/>
          <w:color w:val="auto"/>
          <w:sz w:val="24"/>
          <w:szCs w:val="24"/>
        </w:rPr>
        <w:t>AC220V±15%</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频率：</w:t>
      </w:r>
      <w:r>
        <w:rPr>
          <w:rFonts w:asciiTheme="minorEastAsia" w:hAnsiTheme="minorEastAsia" w:eastAsiaTheme="minorEastAsia"/>
          <w:color w:val="auto"/>
          <w:sz w:val="24"/>
          <w:szCs w:val="24"/>
        </w:rPr>
        <w:t>50～60Hz</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功率：＜</w:t>
      </w:r>
      <w:r>
        <w:rPr>
          <w:rFonts w:asciiTheme="minorEastAsia" w:hAnsiTheme="minorEastAsia" w:eastAsiaTheme="minorEastAsia"/>
          <w:color w:val="auto"/>
          <w:sz w:val="24"/>
          <w:szCs w:val="24"/>
        </w:rPr>
        <w:t>11</w:t>
      </w:r>
      <w:r>
        <w:rPr>
          <w:rFonts w:hint="eastAsia" w:asciiTheme="minorEastAsia" w:hAnsiTheme="minorEastAsia" w:eastAsiaTheme="minorEastAsia"/>
          <w:color w:val="auto"/>
          <w:sz w:val="24"/>
          <w:szCs w:val="24"/>
        </w:rPr>
        <w:t>00W（含制冷空调）；</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平均无故障时间：</w:t>
      </w:r>
      <w:r>
        <w:rPr>
          <w:rFonts w:asciiTheme="minorEastAsia" w:hAnsiTheme="minorEastAsia" w:eastAsiaTheme="minorEastAsia"/>
          <w:color w:val="auto"/>
          <w:sz w:val="24"/>
          <w:szCs w:val="24"/>
        </w:rPr>
        <w:t>500万次</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工作温度：-40℃~+70℃；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工作湿度：≤9</w:t>
      </w:r>
      <w:r>
        <w:rPr>
          <w:rFonts w:asciiTheme="minorEastAsia" w:hAnsiTheme="minorEastAsia" w:eastAsiaTheme="minorEastAsia"/>
          <w:color w:val="auto"/>
          <w:sz w:val="24"/>
          <w:szCs w:val="24"/>
        </w:rPr>
        <w:t>0%</w:t>
      </w:r>
      <w:r>
        <w:rPr>
          <w:rFonts w:hint="eastAsia" w:asciiTheme="minorEastAsia" w:hAnsiTheme="minorEastAsia" w:eastAsiaTheme="minorEastAsia"/>
          <w:color w:val="auto"/>
          <w:sz w:val="24"/>
          <w:szCs w:val="24"/>
        </w:rPr>
        <w:t>无凝露；</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整机接口：标准4网口；</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电机类型：步进伺服电机；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整机抬落杆时间：≤0</w:t>
      </w:r>
      <w:r>
        <w:rPr>
          <w:rFonts w:asciiTheme="minorEastAsia" w:hAnsiTheme="minorEastAsia" w:eastAsiaTheme="minorEastAsia"/>
          <w:color w:val="auto"/>
          <w:sz w:val="24"/>
          <w:szCs w:val="24"/>
        </w:rPr>
        <w:t>.6s</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栏杆臂长度：普通车道3.28m；超宽车道3.5m；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显示屏幕规格：5</w:t>
      </w:r>
      <w:r>
        <w:rPr>
          <w:rFonts w:asciiTheme="minorEastAsia" w:hAnsiTheme="minorEastAsia" w:eastAsiaTheme="minorEastAsia"/>
          <w:color w:val="auto"/>
          <w:sz w:val="24"/>
          <w:szCs w:val="24"/>
        </w:rPr>
        <w:t>mm</w:t>
      </w:r>
      <w:r>
        <w:rPr>
          <w:rFonts w:hint="eastAsia" w:asciiTheme="minorEastAsia" w:hAnsiTheme="minorEastAsia" w:eastAsiaTheme="minorEastAsia"/>
          <w:color w:val="auto"/>
          <w:sz w:val="24"/>
          <w:szCs w:val="24"/>
        </w:rPr>
        <w:t>像素间距，96*192点阵；</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显示区域尺寸：480mm*960mm；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车牌识别像素：300W；</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抓拍识别率：≧</w:t>
      </w:r>
      <w:r>
        <w:rPr>
          <w:rFonts w:asciiTheme="minorEastAsia" w:hAnsiTheme="minorEastAsia" w:eastAsiaTheme="minorEastAsia"/>
          <w:color w:val="auto"/>
          <w:sz w:val="24"/>
          <w:szCs w:val="24"/>
        </w:rPr>
        <w:t>99%</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传感器类别：</w:t>
      </w:r>
      <w:r>
        <w:rPr>
          <w:rFonts w:asciiTheme="minorEastAsia" w:hAnsiTheme="minorEastAsia" w:eastAsiaTheme="minorEastAsia"/>
          <w:color w:val="auto"/>
          <w:sz w:val="24"/>
          <w:szCs w:val="24"/>
        </w:rPr>
        <w:t>逐行扫描彩色CMOS</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光学尺寸：</w:t>
      </w:r>
      <w:r>
        <w:rPr>
          <w:rFonts w:asciiTheme="minorEastAsia" w:hAnsiTheme="minorEastAsia" w:eastAsiaTheme="minorEastAsia"/>
          <w:color w:val="auto"/>
          <w:sz w:val="24"/>
          <w:szCs w:val="24"/>
        </w:rPr>
        <w:t>1/</w:t>
      </w:r>
      <w:r>
        <w:rPr>
          <w:rFonts w:hint="eastAsia" w:asciiTheme="minorEastAsia" w:hAnsiTheme="minorEastAsia" w:eastAsiaTheme="minorEastAsia"/>
          <w:color w:val="auto"/>
          <w:sz w:val="24"/>
          <w:szCs w:val="24"/>
        </w:rPr>
        <w:t>2</w:t>
      </w:r>
      <w:r>
        <w:rPr>
          <w:rFonts w:asciiTheme="minorEastAsia" w:hAnsiTheme="minorEastAsia" w:eastAsiaTheme="minorEastAsia"/>
          <w:color w:val="auto"/>
          <w:sz w:val="24"/>
          <w:szCs w:val="24"/>
        </w:rPr>
        <w:t xml:space="preserve"> 英寸</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JPEG像格式尺寸：2304*1296、</w:t>
      </w:r>
      <w:r>
        <w:rPr>
          <w:rFonts w:asciiTheme="minorEastAsia" w:hAnsiTheme="minorEastAsia" w:eastAsiaTheme="minorEastAsia"/>
          <w:color w:val="auto"/>
          <w:sz w:val="24"/>
          <w:szCs w:val="24"/>
        </w:rPr>
        <w:t>1920</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1080</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车牌识别</w:t>
      </w:r>
      <w:r>
        <w:rPr>
          <w:rFonts w:asciiTheme="minorEastAsia" w:hAnsiTheme="minorEastAsia" w:eastAsiaTheme="minorEastAsia"/>
          <w:color w:val="auto"/>
          <w:sz w:val="24"/>
          <w:szCs w:val="24"/>
        </w:rPr>
        <w:t>接口</w:t>
      </w:r>
      <w:r>
        <w:rPr>
          <w:rFonts w:hint="eastAsia" w:asciiTheme="minorEastAsia" w:hAnsiTheme="minorEastAsia" w:eastAsiaTheme="minorEastAsia"/>
          <w:color w:val="auto"/>
          <w:sz w:val="24"/>
          <w:szCs w:val="24"/>
        </w:rPr>
        <w:t>：单/双</w:t>
      </w:r>
      <w:r>
        <w:rPr>
          <w:rFonts w:asciiTheme="minorEastAsia" w:hAnsiTheme="minorEastAsia" w:eastAsiaTheme="minorEastAsia"/>
          <w:color w:val="auto"/>
          <w:sz w:val="24"/>
          <w:szCs w:val="24"/>
        </w:rPr>
        <w:t>路10/100M自适应网口</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通行灯规格：5</w:t>
      </w:r>
      <w:r>
        <w:rPr>
          <w:rFonts w:asciiTheme="minorEastAsia" w:hAnsiTheme="minorEastAsia" w:eastAsiaTheme="minorEastAsia"/>
          <w:color w:val="auto"/>
          <w:sz w:val="24"/>
          <w:szCs w:val="24"/>
        </w:rPr>
        <w:t>mm</w:t>
      </w:r>
      <w:r>
        <w:rPr>
          <w:rFonts w:hint="eastAsia" w:asciiTheme="minorEastAsia" w:hAnsiTheme="minorEastAsia" w:eastAsiaTheme="minorEastAsia"/>
          <w:color w:val="auto"/>
          <w:sz w:val="24"/>
          <w:szCs w:val="24"/>
        </w:rPr>
        <w:t>像素间距，</w:t>
      </w:r>
      <w:r>
        <w:rPr>
          <w:rFonts w:asciiTheme="minorEastAsia" w:hAnsiTheme="minorEastAsia" w:eastAsiaTheme="minorEastAsia"/>
          <w:color w:val="auto"/>
          <w:sz w:val="24"/>
          <w:szCs w:val="24"/>
        </w:rPr>
        <w:t>32</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3</w:t>
      </w:r>
      <w:r>
        <w:rPr>
          <w:rFonts w:hint="eastAsia" w:asciiTheme="minorEastAsia" w:hAnsiTheme="minorEastAsia" w:eastAsiaTheme="minorEastAsia"/>
          <w:color w:val="auto"/>
          <w:sz w:val="24"/>
          <w:szCs w:val="24"/>
        </w:rPr>
        <w:t>2点阵；</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通行灯大小：160mm*160mm；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显示内容：</w:t>
      </w:r>
      <w:r>
        <w:rPr>
          <w:rFonts w:asciiTheme="minorEastAsia" w:hAnsiTheme="minorEastAsia" w:eastAsiaTheme="minorEastAsia"/>
          <w:color w:val="auto"/>
          <w:sz w:val="24"/>
          <w:szCs w:val="24"/>
        </w:rPr>
        <w:t>红色叉号、绿色箭头</w:t>
      </w:r>
      <w:r>
        <w:rPr>
          <w:rFonts w:hint="eastAsia" w:asciiTheme="minorEastAsia" w:hAnsiTheme="minorEastAsia" w:eastAsiaTheme="minorEastAsia"/>
          <w:color w:val="auto"/>
          <w:sz w:val="24"/>
          <w:szCs w:val="24"/>
        </w:rPr>
        <w:t>。</w:t>
      </w:r>
    </w:p>
    <w:bookmarkEnd w:id="289"/>
    <w:p>
      <w:pPr>
        <w:pStyle w:val="7"/>
        <w:ind w:firstLine="504"/>
        <w:rPr>
          <w:color w:val="auto"/>
        </w:rPr>
      </w:pPr>
      <w:r>
        <w:rPr>
          <w:rFonts w:hint="eastAsia"/>
          <w:color w:val="auto"/>
        </w:rPr>
        <w:t>TS404.1.9</w:t>
      </w:r>
      <w:r>
        <w:rPr>
          <w:color w:val="auto"/>
        </w:rPr>
        <w:t xml:space="preserve"> </w:t>
      </w:r>
      <w:r>
        <w:rPr>
          <w:rFonts w:hint="eastAsia"/>
          <w:color w:val="auto"/>
        </w:rPr>
        <w:t>拾音器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静态电流：3.5mA；</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监听范围：监听场合100m²内不失真。</w:t>
      </w:r>
    </w:p>
    <w:p>
      <w:pPr>
        <w:pStyle w:val="7"/>
        <w:ind w:firstLine="504"/>
        <w:rPr>
          <w:color w:val="auto"/>
        </w:rPr>
      </w:pPr>
      <w:r>
        <w:rPr>
          <w:rFonts w:hint="eastAsia"/>
          <w:color w:val="auto"/>
        </w:rPr>
        <w:t>TS404.1.10广场数据交换机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支持线速转发交换容量不小于520Gbps，包转发速率不小于144Mpps，24个10/100/1000BASE-T以太网端口,4个万兆SFP+(含2光模块)；   </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支持IGMP Snooping，IGMP，组播VLAN等组播协议；</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支持VLAN功能，支持4K个符合IEEE 802.1Q标准的VLAN，支持基于端口的VLAN和基于协议的VLAN；</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支持全双工，支持IEEE 802.3x流控（全双工），支持背压式流控（半双工）；</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支持IPv4和IPv6的三层路由功能；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MAC地址表：32K，地址自学习，IEEE 802.1D标准；</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支持流量控制（Flow Control），支持服务质量（QoS），生成树协议支持，广播风暴控制，802.1x认证支持，支持端口汇聚，镜像支持等；</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工作温度：-5℃～45℃；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含堆叠模块。</w:t>
      </w:r>
    </w:p>
    <w:p>
      <w:pPr>
        <w:pStyle w:val="7"/>
        <w:ind w:firstLine="504"/>
        <w:rPr>
          <w:color w:val="auto"/>
        </w:rPr>
      </w:pPr>
      <w:r>
        <w:rPr>
          <w:rFonts w:hint="eastAsia"/>
          <w:color w:val="auto"/>
        </w:rPr>
        <w:t>TS404.1.11车道交换机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支持线速转发交换容量不小于520Gbps，包转发速率不小于144Mpps，16个10/100/1000BASE-T以太网端口,4个万兆SFP+(含2光模块)； </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w:t>
      </w:r>
      <w:r>
        <w:rPr>
          <w:rFonts w:asciiTheme="minorEastAsia" w:hAnsiTheme="minorEastAsia" w:eastAsiaTheme="minorEastAsia"/>
          <w:color w:val="auto"/>
          <w:sz w:val="24"/>
          <w:szCs w:val="24"/>
        </w:rPr>
        <w:t>IGMP Snooping</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IGMP</w:t>
      </w:r>
      <w:r>
        <w:rPr>
          <w:rFonts w:hint="eastAsia" w:asciiTheme="minorEastAsia" w:hAnsiTheme="minorEastAsia" w:eastAsiaTheme="minorEastAsia"/>
          <w:color w:val="auto"/>
          <w:sz w:val="24"/>
          <w:szCs w:val="24"/>
        </w:rPr>
        <w:t>，组播</w:t>
      </w:r>
      <w:r>
        <w:rPr>
          <w:rFonts w:asciiTheme="minorEastAsia" w:hAnsiTheme="minorEastAsia" w:eastAsiaTheme="minorEastAsia"/>
          <w:color w:val="auto"/>
          <w:sz w:val="24"/>
          <w:szCs w:val="24"/>
        </w:rPr>
        <w:t>VLAN</w:t>
      </w:r>
      <w:r>
        <w:rPr>
          <w:rFonts w:hint="eastAsia" w:asciiTheme="minorEastAsia" w:hAnsiTheme="minorEastAsia" w:eastAsiaTheme="minorEastAsia"/>
          <w:color w:val="auto"/>
          <w:sz w:val="24"/>
          <w:szCs w:val="24"/>
        </w:rPr>
        <w:t>等组播协议；</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w:t>
      </w:r>
      <w:r>
        <w:rPr>
          <w:rFonts w:asciiTheme="minorEastAsia" w:hAnsiTheme="minorEastAsia" w:eastAsiaTheme="minorEastAsia"/>
          <w:color w:val="auto"/>
          <w:sz w:val="24"/>
          <w:szCs w:val="24"/>
        </w:rPr>
        <w:t>VLAN</w:t>
      </w:r>
      <w:r>
        <w:rPr>
          <w:rFonts w:hint="eastAsia" w:asciiTheme="minorEastAsia" w:hAnsiTheme="minorEastAsia" w:eastAsiaTheme="minorEastAsia"/>
          <w:color w:val="auto"/>
          <w:sz w:val="24"/>
          <w:szCs w:val="24"/>
        </w:rPr>
        <w:t>功能，支持</w:t>
      </w:r>
      <w:r>
        <w:rPr>
          <w:rFonts w:asciiTheme="minorEastAsia" w:hAnsiTheme="minorEastAsia" w:eastAsiaTheme="minorEastAsia"/>
          <w:color w:val="auto"/>
          <w:sz w:val="24"/>
          <w:szCs w:val="24"/>
        </w:rPr>
        <w:t>4K</w:t>
      </w:r>
      <w:r>
        <w:rPr>
          <w:rFonts w:hint="eastAsia" w:asciiTheme="minorEastAsia" w:hAnsiTheme="minorEastAsia" w:eastAsiaTheme="minorEastAsia"/>
          <w:color w:val="auto"/>
          <w:sz w:val="24"/>
          <w:szCs w:val="24"/>
        </w:rPr>
        <w:t>个符合</w:t>
      </w:r>
      <w:r>
        <w:rPr>
          <w:rFonts w:asciiTheme="minorEastAsia" w:hAnsiTheme="minorEastAsia" w:eastAsiaTheme="minorEastAsia"/>
          <w:color w:val="auto"/>
          <w:sz w:val="24"/>
          <w:szCs w:val="24"/>
        </w:rPr>
        <w:t>IEEE 802.1Q</w:t>
      </w:r>
      <w:r>
        <w:rPr>
          <w:rFonts w:hint="eastAsia" w:asciiTheme="minorEastAsia" w:hAnsiTheme="minorEastAsia" w:eastAsiaTheme="minorEastAsia"/>
          <w:color w:val="auto"/>
          <w:sz w:val="24"/>
          <w:szCs w:val="24"/>
        </w:rPr>
        <w:t>标准的</w:t>
      </w:r>
      <w:r>
        <w:rPr>
          <w:rFonts w:asciiTheme="minorEastAsia" w:hAnsiTheme="minorEastAsia" w:eastAsiaTheme="minorEastAsia"/>
          <w:color w:val="auto"/>
          <w:sz w:val="24"/>
          <w:szCs w:val="24"/>
        </w:rPr>
        <w:t>VLAN</w:t>
      </w:r>
      <w:r>
        <w:rPr>
          <w:rFonts w:hint="eastAsia" w:asciiTheme="minorEastAsia" w:hAnsiTheme="minorEastAsia" w:eastAsiaTheme="minorEastAsia"/>
          <w:color w:val="auto"/>
          <w:sz w:val="24"/>
          <w:szCs w:val="24"/>
        </w:rPr>
        <w:t>，支持基于端口的</w:t>
      </w:r>
      <w:r>
        <w:rPr>
          <w:rFonts w:asciiTheme="minorEastAsia" w:hAnsiTheme="minorEastAsia" w:eastAsiaTheme="minorEastAsia"/>
          <w:color w:val="auto"/>
          <w:sz w:val="24"/>
          <w:szCs w:val="24"/>
        </w:rPr>
        <w:t>VLAN</w:t>
      </w:r>
      <w:r>
        <w:rPr>
          <w:rFonts w:hint="eastAsia" w:asciiTheme="minorEastAsia" w:hAnsiTheme="minorEastAsia" w:eastAsiaTheme="minorEastAsia"/>
          <w:color w:val="auto"/>
          <w:sz w:val="24"/>
          <w:szCs w:val="24"/>
        </w:rPr>
        <w:t>和基于协议的</w:t>
      </w:r>
      <w:r>
        <w:rPr>
          <w:rFonts w:asciiTheme="minorEastAsia" w:hAnsiTheme="minorEastAsia" w:eastAsiaTheme="minorEastAsia"/>
          <w:color w:val="auto"/>
          <w:sz w:val="24"/>
          <w:szCs w:val="24"/>
        </w:rPr>
        <w:t>VLAN</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支持全双工，支持</w:t>
      </w:r>
      <w:r>
        <w:rPr>
          <w:rFonts w:asciiTheme="minorEastAsia" w:hAnsiTheme="minorEastAsia" w:eastAsiaTheme="minorEastAsia"/>
          <w:color w:val="auto"/>
          <w:sz w:val="24"/>
          <w:szCs w:val="24"/>
        </w:rPr>
        <w:t>IEEE 802.3x</w:t>
      </w:r>
      <w:r>
        <w:rPr>
          <w:rFonts w:hint="eastAsia" w:asciiTheme="minorEastAsia" w:hAnsiTheme="minorEastAsia" w:eastAsiaTheme="minorEastAsia"/>
          <w:color w:val="auto"/>
          <w:sz w:val="24"/>
          <w:szCs w:val="24"/>
        </w:rPr>
        <w:t>流控（全双工），支持背压式流控（半双工）；</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w:t>
      </w:r>
      <w:r>
        <w:rPr>
          <w:rFonts w:asciiTheme="minorEastAsia" w:hAnsiTheme="minorEastAsia" w:eastAsiaTheme="minorEastAsia"/>
          <w:color w:val="auto"/>
          <w:sz w:val="24"/>
          <w:szCs w:val="24"/>
        </w:rPr>
        <w:t>IPv4</w:t>
      </w:r>
      <w:r>
        <w:rPr>
          <w:rFonts w:hint="eastAsia" w:asciiTheme="minorEastAsia" w:hAnsiTheme="minorEastAsia" w:eastAsiaTheme="minorEastAsia"/>
          <w:color w:val="auto"/>
          <w:sz w:val="24"/>
          <w:szCs w:val="24"/>
        </w:rPr>
        <w:t>和</w:t>
      </w:r>
      <w:r>
        <w:rPr>
          <w:rFonts w:asciiTheme="minorEastAsia" w:hAnsiTheme="minorEastAsia" w:eastAsiaTheme="minorEastAsia"/>
          <w:color w:val="auto"/>
          <w:sz w:val="24"/>
          <w:szCs w:val="24"/>
        </w:rPr>
        <w:t>IPv6</w:t>
      </w:r>
      <w:r>
        <w:rPr>
          <w:rFonts w:hint="eastAsia" w:asciiTheme="minorEastAsia" w:hAnsiTheme="minorEastAsia" w:eastAsiaTheme="minorEastAsia"/>
          <w:color w:val="auto"/>
          <w:sz w:val="24"/>
          <w:szCs w:val="24"/>
        </w:rPr>
        <w:t>的三层路由功能；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MAC</w:t>
      </w:r>
      <w:r>
        <w:rPr>
          <w:rFonts w:hint="eastAsia" w:asciiTheme="minorEastAsia" w:hAnsiTheme="minorEastAsia" w:eastAsiaTheme="minorEastAsia"/>
          <w:color w:val="auto"/>
          <w:sz w:val="24"/>
          <w:szCs w:val="24"/>
        </w:rPr>
        <w:t>地址表：32</w:t>
      </w:r>
      <w:r>
        <w:rPr>
          <w:rFonts w:asciiTheme="minorEastAsia" w:hAnsiTheme="minorEastAsia" w:eastAsiaTheme="minorEastAsia"/>
          <w:color w:val="auto"/>
          <w:sz w:val="24"/>
          <w:szCs w:val="24"/>
        </w:rPr>
        <w:t>K</w:t>
      </w:r>
      <w:r>
        <w:rPr>
          <w:rFonts w:hint="eastAsia" w:asciiTheme="minorEastAsia" w:hAnsiTheme="minorEastAsia" w:eastAsiaTheme="minorEastAsia"/>
          <w:color w:val="auto"/>
          <w:sz w:val="24"/>
          <w:szCs w:val="24"/>
        </w:rPr>
        <w:t>，地址自学习，</w:t>
      </w:r>
      <w:r>
        <w:rPr>
          <w:rFonts w:asciiTheme="minorEastAsia" w:hAnsiTheme="minorEastAsia" w:eastAsiaTheme="minorEastAsia"/>
          <w:color w:val="auto"/>
          <w:sz w:val="24"/>
          <w:szCs w:val="24"/>
        </w:rPr>
        <w:t>IEEE 802.1D</w:t>
      </w:r>
      <w:r>
        <w:rPr>
          <w:rFonts w:hint="eastAsia" w:asciiTheme="minorEastAsia" w:hAnsiTheme="minorEastAsia" w:eastAsiaTheme="minorEastAsia"/>
          <w:color w:val="auto"/>
          <w:sz w:val="24"/>
          <w:szCs w:val="24"/>
        </w:rPr>
        <w:t>标准；</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支持流量控制（</w:t>
      </w:r>
      <w:r>
        <w:rPr>
          <w:rFonts w:asciiTheme="minorEastAsia" w:hAnsiTheme="minorEastAsia" w:eastAsiaTheme="minorEastAsia"/>
          <w:color w:val="auto"/>
          <w:sz w:val="24"/>
          <w:szCs w:val="24"/>
        </w:rPr>
        <w:t>Flow Control</w:t>
      </w:r>
      <w:r>
        <w:rPr>
          <w:rFonts w:hint="eastAsia" w:asciiTheme="minorEastAsia" w:hAnsiTheme="minorEastAsia" w:eastAsiaTheme="minorEastAsia"/>
          <w:color w:val="auto"/>
          <w:sz w:val="24"/>
          <w:szCs w:val="24"/>
        </w:rPr>
        <w:t>），支持服务质量（</w:t>
      </w:r>
      <w:r>
        <w:rPr>
          <w:rFonts w:asciiTheme="minorEastAsia" w:hAnsiTheme="minorEastAsia" w:eastAsiaTheme="minorEastAsia"/>
          <w:color w:val="auto"/>
          <w:sz w:val="24"/>
          <w:szCs w:val="24"/>
        </w:rPr>
        <w:t>QoS</w:t>
      </w:r>
      <w:r>
        <w:rPr>
          <w:rFonts w:hint="eastAsia" w:asciiTheme="minorEastAsia" w:hAnsiTheme="minorEastAsia" w:eastAsiaTheme="minorEastAsia"/>
          <w:color w:val="auto"/>
          <w:sz w:val="24"/>
          <w:szCs w:val="24"/>
        </w:rPr>
        <w:t>），生成树协议支持，广播风暴控制，</w:t>
      </w:r>
      <w:r>
        <w:rPr>
          <w:rFonts w:asciiTheme="minorEastAsia" w:hAnsiTheme="minorEastAsia" w:eastAsiaTheme="minorEastAsia"/>
          <w:color w:val="auto"/>
          <w:sz w:val="24"/>
          <w:szCs w:val="24"/>
        </w:rPr>
        <w:t>802.1x</w:t>
      </w:r>
      <w:r>
        <w:rPr>
          <w:rFonts w:hint="eastAsia" w:asciiTheme="minorEastAsia" w:hAnsiTheme="minorEastAsia" w:eastAsiaTheme="minorEastAsia"/>
          <w:color w:val="auto"/>
          <w:sz w:val="24"/>
          <w:szCs w:val="24"/>
        </w:rPr>
        <w:t>认证支持，支持端口汇聚，镜像支持等；</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w:t>
      </w:r>
      <w:r>
        <w:rPr>
          <w:rFonts w:asciiTheme="minorEastAsia" w:hAnsiTheme="minorEastAsia" w:eastAsiaTheme="minorEastAsia"/>
          <w:color w:val="auto"/>
          <w:sz w:val="24"/>
          <w:szCs w:val="24"/>
        </w:rPr>
        <w:t>-5</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45</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工作环境：5－35</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w:t>
      </w:r>
    </w:p>
    <w:p>
      <w:pPr>
        <w:pStyle w:val="7"/>
        <w:ind w:firstLine="504"/>
        <w:rPr>
          <w:color w:val="auto"/>
        </w:rPr>
      </w:pPr>
      <w:r>
        <w:rPr>
          <w:rFonts w:hint="eastAsia"/>
          <w:color w:val="auto"/>
        </w:rPr>
        <w:t>TS404.1.12 ETC路侧单元</w:t>
      </w:r>
    </w:p>
    <w:p>
      <w:pPr>
        <w:adjustRightInd w:val="0"/>
        <w:snapToGrid w:val="0"/>
        <w:spacing w:line="360" w:lineRule="auto"/>
        <w:ind w:firstLine="480" w:firstLineChars="200"/>
        <w:rPr>
          <w:rFonts w:asciiTheme="minorEastAsia" w:hAnsiTheme="minorEastAsia" w:eastAsiaTheme="minorEastAsia"/>
          <w:color w:val="auto"/>
          <w:sz w:val="24"/>
          <w:szCs w:val="24"/>
        </w:rPr>
      </w:pPr>
      <w:bookmarkStart w:id="290" w:name="_Toc208800521"/>
      <w:r>
        <w:rPr>
          <w:rFonts w:hint="eastAsia" w:asciiTheme="minorEastAsia" w:hAnsiTheme="minorEastAsia" w:eastAsiaTheme="minorEastAsia"/>
          <w:color w:val="auto"/>
          <w:sz w:val="24"/>
          <w:szCs w:val="24"/>
        </w:rPr>
        <w:t>ETC路侧设备（RSU）符合“电子收费 专用短程通信”系列标准（GB/T 20839-2007、GB/T 20851.1-2007、GB/T 20851.2-2007、GB/T 20851.3-2007、GB/T 20851.4-2007、GB/T 20851.5-2007）等相关国家标准，并通过交通运输部相关部门权威检测。</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同时至少满足以下技术要求：</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路侧设备的技术标准应满足GB/T 20851.1～5-2019《电子收费专用短程通信》系列标准，《收费公路联网电子不停车收费技术要求》中的规定。</w:t>
      </w:r>
    </w:p>
    <w:p>
      <w:pPr>
        <w:adjustRightInd w:val="0"/>
        <w:snapToGrid w:val="0"/>
        <w:spacing w:line="360" w:lineRule="auto"/>
        <w:ind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（1）基本功能性能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由车道天线、天线控制器及电源组件等功能模块组成；</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提供以太网或标准串行接口，与车道主控制器连接；</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内置至少4个符合</w:t>
      </w:r>
      <w:r>
        <w:rPr>
          <w:rFonts w:asciiTheme="minorEastAsia" w:hAnsiTheme="minorEastAsia" w:eastAsiaTheme="minorEastAsia"/>
          <w:color w:val="auto"/>
          <w:sz w:val="24"/>
          <w:szCs w:val="24"/>
        </w:rPr>
        <w:t>ISO/IEC 7816</w:t>
      </w:r>
      <w:r>
        <w:rPr>
          <w:rFonts w:hint="eastAsia" w:asciiTheme="minorEastAsia" w:hAnsiTheme="minorEastAsia" w:eastAsiaTheme="minorEastAsia"/>
          <w:color w:val="auto"/>
          <w:sz w:val="24"/>
          <w:szCs w:val="24"/>
        </w:rPr>
        <w:t>标准的</w:t>
      </w:r>
      <w:r>
        <w:rPr>
          <w:rFonts w:asciiTheme="minorEastAsia" w:hAnsiTheme="minorEastAsia" w:eastAsiaTheme="minorEastAsia"/>
          <w:color w:val="auto"/>
          <w:sz w:val="24"/>
          <w:szCs w:val="24"/>
        </w:rPr>
        <w:t>PSAM</w:t>
      </w:r>
      <w:r>
        <w:rPr>
          <w:rFonts w:hint="eastAsia" w:asciiTheme="minorEastAsia" w:hAnsiTheme="minorEastAsia" w:eastAsiaTheme="minorEastAsia"/>
          <w:color w:val="auto"/>
          <w:sz w:val="24"/>
          <w:szCs w:val="24"/>
        </w:rPr>
        <w:t>模块；</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在相邻两条或两条以上</w:t>
      </w:r>
      <w:r>
        <w:rPr>
          <w:rFonts w:asciiTheme="minorEastAsia" w:hAnsiTheme="minorEastAsia" w:eastAsiaTheme="minorEastAsia"/>
          <w:color w:val="auto"/>
          <w:sz w:val="24"/>
          <w:szCs w:val="24"/>
        </w:rPr>
        <w:t>ETC</w:t>
      </w:r>
      <w:r>
        <w:rPr>
          <w:rFonts w:hint="eastAsia" w:asciiTheme="minorEastAsia" w:hAnsiTheme="minorEastAsia" w:eastAsiaTheme="minorEastAsia"/>
          <w:color w:val="auto"/>
          <w:sz w:val="24"/>
          <w:szCs w:val="24"/>
        </w:rPr>
        <w:t>车道情况下，各车道读写器的天线工作频率应能交叉配置，以避免相邻频谱干扰；</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支持高安全性电子钱包交易方式，符合</w:t>
      </w:r>
      <w:r>
        <w:rPr>
          <w:rFonts w:asciiTheme="minorEastAsia" w:hAnsiTheme="minorEastAsia" w:eastAsiaTheme="minorEastAsia"/>
          <w:color w:val="auto"/>
          <w:sz w:val="24"/>
          <w:szCs w:val="24"/>
        </w:rPr>
        <w:t>PBOC</w:t>
      </w:r>
      <w:r>
        <w:rPr>
          <w:rFonts w:hint="eastAsia" w:asciiTheme="minorEastAsia" w:hAnsiTheme="minorEastAsia" w:eastAsiaTheme="minorEastAsia"/>
          <w:color w:val="auto"/>
          <w:sz w:val="24"/>
          <w:szCs w:val="24"/>
        </w:rPr>
        <w:t>金融卡交易规范；</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可适应车辆通行速度≥</w:t>
      </w:r>
      <w:r>
        <w:rPr>
          <w:rFonts w:asciiTheme="minorEastAsia" w:hAnsiTheme="minorEastAsia" w:eastAsiaTheme="minorEastAsia"/>
          <w:color w:val="auto"/>
          <w:sz w:val="24"/>
          <w:szCs w:val="24"/>
        </w:rPr>
        <w:t>70km/h</w:t>
      </w:r>
      <w:r>
        <w:rPr>
          <w:rFonts w:hint="eastAsia" w:asciiTheme="minorEastAsia" w:hAnsiTheme="minorEastAsia" w:eastAsiaTheme="minorEastAsia"/>
          <w:color w:val="auto"/>
          <w:sz w:val="24"/>
          <w:szCs w:val="24"/>
        </w:rPr>
        <w:t>，提升通车速度的同时，防止旁道干扰和跟车干扰；</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具备通信区域设定功能，适应各种应用场景需求；</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提供灵活可控的应用编程接口，以适应各种应用编程的需要；</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采用联机工作方式；</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的供电符合收费车道工作环境；</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具备较好的抗雷击、浪涌性能；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能在收费站可能存在的各种环境下稳定工作；</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的免维护寿命不低于</w:t>
      </w:r>
      <w:r>
        <w:rPr>
          <w:rFonts w:asciiTheme="minorEastAsia" w:hAnsiTheme="minorEastAsia" w:eastAsiaTheme="minorEastAsia"/>
          <w:color w:val="auto"/>
          <w:sz w:val="24"/>
          <w:szCs w:val="24"/>
        </w:rPr>
        <w:t>70,000</w:t>
      </w:r>
      <w:r>
        <w:rPr>
          <w:rFonts w:hint="eastAsia" w:asciiTheme="minorEastAsia" w:hAnsiTheme="minorEastAsia" w:eastAsiaTheme="minorEastAsia"/>
          <w:color w:val="auto"/>
          <w:sz w:val="24"/>
          <w:szCs w:val="24"/>
        </w:rPr>
        <w:t>小时。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具有友好的人机界面，能够以图片、中文、英文等方式显示设备工作状态，包括但不限于PSAM卡状态、发射功率、故障类型等等。</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设备需支持远程监控维护和集中管理等功能，状态查询，参数配置，固件升级，流水日志检索和上传，ETC交易成功率实时统计等功能。</w:t>
      </w:r>
    </w:p>
    <w:p>
      <w:pPr>
        <w:adjustRightInd w:val="0"/>
        <w:snapToGrid w:val="0"/>
        <w:spacing w:line="360" w:lineRule="auto"/>
        <w:ind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（2）安全性要求</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应内置符合</w:t>
      </w:r>
      <w:r>
        <w:rPr>
          <w:rFonts w:asciiTheme="minorEastAsia" w:hAnsiTheme="minorEastAsia" w:eastAsiaTheme="minorEastAsia"/>
          <w:color w:val="auto"/>
          <w:sz w:val="24"/>
          <w:szCs w:val="24"/>
        </w:rPr>
        <w:t>JR/T 0025</w:t>
      </w:r>
      <w:r>
        <w:rPr>
          <w:rFonts w:hint="eastAsia" w:asciiTheme="minorEastAsia" w:hAnsiTheme="minorEastAsia" w:eastAsiaTheme="minorEastAsia"/>
          <w:color w:val="auto"/>
          <w:sz w:val="24"/>
          <w:szCs w:val="24"/>
        </w:rPr>
        <w:t>安全交易规范规定的</w:t>
      </w:r>
      <w:r>
        <w:rPr>
          <w:rFonts w:asciiTheme="minorEastAsia" w:hAnsiTheme="minorEastAsia" w:eastAsiaTheme="minorEastAsia"/>
          <w:color w:val="auto"/>
          <w:sz w:val="24"/>
          <w:szCs w:val="24"/>
        </w:rPr>
        <w:t>PSAM</w:t>
      </w:r>
      <w:r>
        <w:rPr>
          <w:rFonts w:hint="eastAsia" w:asciiTheme="minorEastAsia" w:hAnsiTheme="minorEastAsia" w:eastAsiaTheme="minorEastAsia"/>
          <w:color w:val="auto"/>
          <w:sz w:val="24"/>
          <w:szCs w:val="24"/>
        </w:rPr>
        <w:t>作为安全认证模块，所有的加密和认证过程均通过</w:t>
      </w:r>
      <w:r>
        <w:rPr>
          <w:rFonts w:asciiTheme="minorEastAsia" w:hAnsiTheme="minorEastAsia" w:eastAsiaTheme="minorEastAsia"/>
          <w:color w:val="auto"/>
          <w:sz w:val="24"/>
          <w:szCs w:val="24"/>
        </w:rPr>
        <w:t>PSAM</w:t>
      </w:r>
      <w:r>
        <w:rPr>
          <w:rFonts w:hint="eastAsia" w:asciiTheme="minorEastAsia" w:hAnsiTheme="minorEastAsia" w:eastAsiaTheme="minorEastAsia"/>
          <w:color w:val="auto"/>
          <w:sz w:val="24"/>
          <w:szCs w:val="24"/>
        </w:rPr>
        <w:t>的方式进行；</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PSAM</w:t>
      </w:r>
      <w:r>
        <w:rPr>
          <w:rFonts w:hint="eastAsia" w:asciiTheme="minorEastAsia" w:hAnsiTheme="minorEastAsia" w:eastAsiaTheme="minorEastAsia"/>
          <w:color w:val="auto"/>
          <w:sz w:val="24"/>
          <w:szCs w:val="24"/>
        </w:rPr>
        <w:t>卡通信速率不低于</w:t>
      </w:r>
      <w:r>
        <w:rPr>
          <w:rFonts w:asciiTheme="minorEastAsia" w:hAnsiTheme="minorEastAsia" w:eastAsiaTheme="minorEastAsia"/>
          <w:color w:val="auto"/>
          <w:sz w:val="24"/>
          <w:szCs w:val="24"/>
        </w:rPr>
        <w:t>56 kbps</w:t>
      </w:r>
      <w:r>
        <w:rPr>
          <w:rFonts w:hint="eastAsia" w:asciiTheme="minorEastAsia" w:hAnsiTheme="minorEastAsia" w:eastAsiaTheme="minorEastAsia"/>
          <w:color w:val="auto"/>
          <w:sz w:val="24"/>
          <w:szCs w:val="24"/>
        </w:rPr>
        <w:t>。</w:t>
      </w:r>
    </w:p>
    <w:p>
      <w:pPr>
        <w:adjustRightInd w:val="0"/>
        <w:snapToGrid w:val="0"/>
        <w:spacing w:line="360" w:lineRule="auto"/>
        <w:ind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（3）通信区域控制与OBU定位</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应具备相控阵功能，可根据</w:t>
      </w:r>
      <w:r>
        <w:rPr>
          <w:rFonts w:asciiTheme="minorEastAsia" w:hAnsiTheme="minorEastAsia" w:eastAsiaTheme="minorEastAsia"/>
          <w:color w:val="auto"/>
          <w:sz w:val="24"/>
          <w:szCs w:val="24"/>
        </w:rPr>
        <w:t>OBU</w:t>
      </w:r>
      <w:r>
        <w:rPr>
          <w:rFonts w:hint="eastAsia" w:asciiTheme="minorEastAsia" w:hAnsiTheme="minorEastAsia" w:eastAsiaTheme="minorEastAsia"/>
          <w:color w:val="auto"/>
          <w:sz w:val="24"/>
          <w:szCs w:val="24"/>
        </w:rPr>
        <w:t>定位信息调节信号波束进行跟踪，最大交易距离应≥</w:t>
      </w:r>
      <w:r>
        <w:rPr>
          <w:rFonts w:asciiTheme="minorEastAsia" w:hAnsiTheme="minorEastAsia" w:eastAsiaTheme="minorEastAsia"/>
          <w:color w:val="auto"/>
          <w:sz w:val="24"/>
          <w:szCs w:val="24"/>
        </w:rPr>
        <w:t>12m</w:t>
      </w:r>
      <w:r>
        <w:rPr>
          <w:rFonts w:hint="eastAsia" w:asciiTheme="minorEastAsia" w:hAnsiTheme="minorEastAsia" w:eastAsiaTheme="minorEastAsia"/>
          <w:color w:val="auto"/>
          <w:sz w:val="24"/>
          <w:szCs w:val="24"/>
        </w:rPr>
        <w:t>，在提升通行速度的同时，防止跟车；</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设备稳定通信区域长度可在</w:t>
      </w:r>
      <w:r>
        <w:rPr>
          <w:rFonts w:asciiTheme="minorEastAsia" w:hAnsiTheme="minorEastAsia" w:eastAsiaTheme="minorEastAsia"/>
          <w:color w:val="auto"/>
          <w:sz w:val="24"/>
          <w:szCs w:val="24"/>
        </w:rPr>
        <w:t>6m-15m</w:t>
      </w:r>
      <w:r>
        <w:rPr>
          <w:rFonts w:hint="eastAsia" w:asciiTheme="minorEastAsia" w:hAnsiTheme="minorEastAsia" w:eastAsiaTheme="minorEastAsia"/>
          <w:color w:val="auto"/>
          <w:sz w:val="24"/>
          <w:szCs w:val="24"/>
        </w:rPr>
        <w:t>范围内，宽度可在</w:t>
      </w:r>
      <w:r>
        <w:rPr>
          <w:rFonts w:asciiTheme="minorEastAsia" w:hAnsiTheme="minorEastAsia" w:eastAsiaTheme="minorEastAsia"/>
          <w:color w:val="auto"/>
          <w:sz w:val="24"/>
          <w:szCs w:val="24"/>
        </w:rPr>
        <w:t>2.5m-4 m</w:t>
      </w:r>
      <w:r>
        <w:rPr>
          <w:rFonts w:hint="eastAsia" w:asciiTheme="minorEastAsia" w:hAnsiTheme="minorEastAsia" w:eastAsiaTheme="minorEastAsia"/>
          <w:color w:val="auto"/>
          <w:sz w:val="24"/>
          <w:szCs w:val="24"/>
        </w:rPr>
        <w:t>范围内通过软件调节，保证较快车辆通行速度的同时，适应单车道到多车道安装要求；</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可对</w:t>
      </w:r>
      <w:r>
        <w:rPr>
          <w:rFonts w:asciiTheme="minorEastAsia" w:hAnsiTheme="minorEastAsia" w:eastAsiaTheme="minorEastAsia"/>
          <w:color w:val="auto"/>
          <w:sz w:val="24"/>
          <w:szCs w:val="24"/>
        </w:rPr>
        <w:t>OBU</w:t>
      </w:r>
      <w:r>
        <w:rPr>
          <w:rFonts w:hint="eastAsia" w:asciiTheme="minorEastAsia" w:hAnsiTheme="minorEastAsia" w:eastAsiaTheme="minorEastAsia"/>
          <w:color w:val="auto"/>
          <w:sz w:val="24"/>
          <w:szCs w:val="24"/>
        </w:rPr>
        <w:t>纵、横两个坐标维度进行定位，最高定位精度≤</w:t>
      </w:r>
      <w:r>
        <w:rPr>
          <w:rFonts w:asciiTheme="minorEastAsia" w:hAnsiTheme="minorEastAsia" w:eastAsiaTheme="minorEastAsia"/>
          <w:color w:val="auto"/>
          <w:sz w:val="24"/>
          <w:szCs w:val="24"/>
        </w:rPr>
        <w:t>0.1m</w:t>
      </w:r>
      <w:r>
        <w:rPr>
          <w:rFonts w:hint="eastAsia" w:asciiTheme="minorEastAsia" w:hAnsiTheme="minorEastAsia" w:eastAsiaTheme="minorEastAsia"/>
          <w:color w:val="auto"/>
          <w:sz w:val="24"/>
          <w:szCs w:val="24"/>
        </w:rPr>
        <w:t>，防止跟车干扰和旁道干扰；</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定位方案应采用易于部署的单天线方式实现；</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应具备发射功率闭环控制功能，保障各类气候条件下交易区域稳定一致；</w:t>
      </w:r>
    </w:p>
    <w:p>
      <w:pPr>
        <w:adjustRightInd w:val="0"/>
        <w:snapToGrid w:val="0"/>
        <w:spacing w:line="360" w:lineRule="auto"/>
        <w:ind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（4）接口要求</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应至少具有</w:t>
      </w:r>
      <w:r>
        <w:rPr>
          <w:rFonts w:asciiTheme="minorEastAsia" w:hAnsiTheme="minorEastAsia" w:eastAsiaTheme="minorEastAsia"/>
          <w:color w:val="auto"/>
          <w:sz w:val="24"/>
          <w:szCs w:val="24"/>
        </w:rPr>
        <w:t>RS-232</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RS-485</w:t>
      </w:r>
      <w:r>
        <w:rPr>
          <w:rFonts w:hint="eastAsia" w:asciiTheme="minorEastAsia" w:hAnsiTheme="minorEastAsia" w:eastAsiaTheme="minorEastAsia"/>
          <w:color w:val="auto"/>
          <w:sz w:val="24"/>
          <w:szCs w:val="24"/>
        </w:rPr>
        <w:t>或以太网方式之一的上位机通信接口；</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应具有符合</w:t>
      </w:r>
      <w:r>
        <w:rPr>
          <w:rFonts w:asciiTheme="minorEastAsia" w:hAnsiTheme="minorEastAsia" w:eastAsiaTheme="minorEastAsia"/>
          <w:color w:val="auto"/>
          <w:sz w:val="24"/>
          <w:szCs w:val="24"/>
        </w:rPr>
        <w:t>ISO/IEC 7816</w:t>
      </w:r>
      <w:r>
        <w:rPr>
          <w:rFonts w:hint="eastAsia" w:asciiTheme="minorEastAsia" w:hAnsiTheme="minorEastAsia" w:eastAsiaTheme="minorEastAsia"/>
          <w:color w:val="auto"/>
          <w:sz w:val="24"/>
          <w:szCs w:val="24"/>
        </w:rPr>
        <w:t>要求的</w:t>
      </w:r>
      <w:r>
        <w:rPr>
          <w:rFonts w:asciiTheme="minorEastAsia" w:hAnsiTheme="minorEastAsia" w:eastAsiaTheme="minorEastAsia"/>
          <w:color w:val="auto"/>
          <w:sz w:val="24"/>
          <w:szCs w:val="24"/>
        </w:rPr>
        <w:t>PSAM</w:t>
      </w:r>
      <w:r>
        <w:rPr>
          <w:rFonts w:hint="eastAsia" w:asciiTheme="minorEastAsia" w:hAnsiTheme="minorEastAsia" w:eastAsiaTheme="minorEastAsia"/>
          <w:color w:val="auto"/>
          <w:sz w:val="24"/>
          <w:szCs w:val="24"/>
        </w:rPr>
        <w:t>卡座接口，支持对符合</w:t>
      </w:r>
      <w:r>
        <w:rPr>
          <w:rFonts w:asciiTheme="minorEastAsia" w:hAnsiTheme="minorEastAsia" w:eastAsiaTheme="minorEastAsia"/>
          <w:color w:val="auto"/>
          <w:sz w:val="24"/>
          <w:szCs w:val="24"/>
        </w:rPr>
        <w:t>JR/T 0025</w:t>
      </w:r>
      <w:r>
        <w:rPr>
          <w:rFonts w:hint="eastAsia" w:asciiTheme="minorEastAsia" w:hAnsiTheme="minorEastAsia" w:eastAsiaTheme="minorEastAsia"/>
          <w:color w:val="auto"/>
          <w:sz w:val="24"/>
          <w:szCs w:val="24"/>
        </w:rPr>
        <w:t>安全交易规范要求的</w:t>
      </w:r>
      <w:r>
        <w:rPr>
          <w:rFonts w:asciiTheme="minorEastAsia" w:hAnsiTheme="minorEastAsia" w:eastAsiaTheme="minorEastAsia"/>
          <w:color w:val="auto"/>
          <w:sz w:val="24"/>
          <w:szCs w:val="24"/>
        </w:rPr>
        <w:t>PSAM</w:t>
      </w:r>
      <w:r>
        <w:rPr>
          <w:rFonts w:hint="eastAsia" w:asciiTheme="minorEastAsia" w:hAnsiTheme="minorEastAsia" w:eastAsiaTheme="minorEastAsia"/>
          <w:color w:val="auto"/>
          <w:sz w:val="24"/>
          <w:szCs w:val="24"/>
        </w:rPr>
        <w:t>的透传指令操作。</w:t>
      </w:r>
    </w:p>
    <w:bookmarkEnd w:id="290"/>
    <w:p>
      <w:pPr>
        <w:pStyle w:val="7"/>
        <w:ind w:firstLine="504"/>
        <w:rPr>
          <w:color w:val="auto"/>
        </w:rPr>
      </w:pPr>
      <w:r>
        <w:rPr>
          <w:rFonts w:hint="eastAsia"/>
          <w:color w:val="auto"/>
        </w:rPr>
        <w:t>TS404.1.13自动交易终端</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入口自动发卡机</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入口自动发卡/ETC车道设施应符合下列要求：</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a）自动发卡/ETC车道支持客货车自助取卡通行。</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b）自动发卡/ETC 车道须支持 ETC 过车自动交易、重复交易限制、车型与车牌比对校验、超限拦截、两客一危拦截和入口拒超抓拍取证等业务功能.</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c）具备自动班次切换，发卡统计和特情处理等功能。</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d）具备按键求助、IP 音视频对讲功能。按下面板求助按钮后，管理端可实时获取该车道语音对讲和视频监控画面，并对卡机界面进行远程控制。</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e）自动发卡系统要求一次性过车率在 99%以上。</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f）自动发卡车道系统软件功能和流程应与 MTC 车道软件系统保持一致。</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硬件功能要求：</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具备客货车发卡、坏卡自动回收。</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具备语音提示功能，支持语音合成。</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具备按键求助、声光报警和 IP 音视频对讲等功能。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工作状态显示：LED。</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伸缩式发卡。</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支持基于网络的传输控制协议。</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配置热敏打印机，具备节假日纸券打印功能。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自动发卡机生产厂商应提供相关软件二次开发接口协议。</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硬件性能要求：</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适应卡片尺寸：长 85.5±0.2mm/宽 54±0.2mm/厚 5±0.2mm（CPC 卡）。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通讯接口：以太网口。</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工作电压：220V±15%，50Hz±2Hz。</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功率：&lt;150W(不包括加热、制冷部分）；</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&lt;650W（包括制冷部分）。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工作湿度：0～90%，工作温度：40～55℃。</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平均无故障时间 MTBF：＞10000 小时，平均故障恢复时间 MTTR：&lt;0.5 小时。</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播放语音≥80db。单工位装卡时间：&lt;15 秒。</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传动件寿命：不低于100 万次。</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发卡速度：≤ 3 秒。</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切换响应时间：≤2 秒。</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卡机总 IC 卡容量：800 张-1000 张可选。</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机箱防护：≥IP55。</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机内内置 IC 卡读写器及收费员终端。</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防雷：电源及通讯接口都采用防雷设计，确保系统的稳定性和安全性。</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散热：采用良好的散热结构，确保在允许工作范围内稳定工作。</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行式热敏打印：</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打印速度：250mm/s（max）；</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打印宽度：80mm (max)；</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进纸方式自动吸纸( 水平 180 °)；</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打印格式：反白、下划线、斜体、粗体等；</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切纸方式：全切、半切。</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出口自助缴费</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出口自助缴费/ETC 车道系统软件功能应符合下列要求：</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a）自动交易终端/ETC 车道须支持客货车自助缴费。</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b）支持 ETC 过车自动交易、重复交易限制、车型与车牌比对校验。</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c）具备移动支付、客货车ETC卡支付、CPC卡通行电子钱包支付等多种通行方式和支付手段。</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d）具备自动班次切换、回收卡统计和特情处理等功能。</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e）具备打印纸质发票功能。</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f）具备交易状态验证功能。</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对 ETC 车辆进行交易状态验证，对已通过匝道自由流预收费设施缴费成功ETC 车辆直接放行，对缴费失败或未缴费的 ETC 车辆进行再次交易后放行。</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g）具备按键求助、IP 音视频对讲功能。</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按下面板求助按钮后，管理端可实时获取该车道语音对讲和视频监控画面，并对卡机界面进行远程控制。</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h）自助收卡/缴费系统要求一次性过车率在96%以上。</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i）自助收卡/缴费车道系统软件功能和流程应与 MTC 车道软件系统保持一致。</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硬件功能要求：</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具备客货车 CPC 卡回收、拒收不符合尺寸要求的卡片、好卡和坏卡分开存放功能。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具备微信、支付宝、ETC 卡刷卡支付功能。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具备切票、废票回收、伸缩出票、上下工位取票功能。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卡数/工作状态显示：液晶 LCD。 具备语音操作指引播报功能。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具备求助按键声光报警、操作指引显示屏和实时视频交互与语音 IP 对讲等功能。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具备节假日纸券扫描功能。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自助收卡/缴费机生产厂商应提供相关软件二次开发接口协议。</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硬件性能要求：</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适应卡片尺寸：长 85.5±0.2mm/宽 54±0.2mm/厚 5±0.2mm（CPC 卡）。</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工作电源：AC220V±15%，50Hz±2Hz。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功率：＜665W（含制冷空调，如采用低功耗设备此项指标应＜350W）。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通讯接口：以太网口。</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工作温度：-20℃～60℃，工作湿度：0～90%。</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平均无故障时间 MTBF：＞10000 小时，平均故障恢复时间 MTTR：﹤0.5 小时。</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收卡速度：≥1500 张/小时。</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收卡伸缩距离：10cm。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传动件寿命：100 万次。</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噪音：≤60dB。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卡机容量：400-800 张可选。</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 扫码枪分辨率：200 万像素；扫码距离：0.2-1.0m；</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扫码范围：≥40×40cm（80cm 距离时）；</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扫码成功率：＞99.9%。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实时监控摄像机：200 万像素。</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防护等级：≥IP55。</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机内内置 IC 卡读写器及收费员终端。 </w:t>
      </w:r>
    </w:p>
    <w:p>
      <w:pPr>
        <w:pStyle w:val="388"/>
        <w:rPr>
          <w:color w:val="auto"/>
        </w:rPr>
      </w:pPr>
      <w:r>
        <w:rPr>
          <w:rFonts w:hint="eastAsia"/>
          <w:color w:val="auto"/>
        </w:rPr>
        <w:t>嵌入式自助设备除不含空调、收费员终端外，其余功能及技术指标与独立式自助设备一致。</w:t>
      </w:r>
    </w:p>
    <w:p>
      <w:pPr>
        <w:pStyle w:val="7"/>
        <w:ind w:firstLine="504"/>
        <w:rPr>
          <w:color w:val="auto"/>
        </w:rPr>
      </w:pPr>
      <w:r>
        <w:rPr>
          <w:rFonts w:hint="eastAsia"/>
          <w:color w:val="auto"/>
        </w:rPr>
        <w:t>TS404.1.14</w:t>
      </w:r>
      <w:r>
        <w:rPr>
          <w:color w:val="auto"/>
        </w:rPr>
        <w:t>移动支付受理终端</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设备防非法软件或木马植入；</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双摄像头，支持防眩光、光学防抖；</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摄像头分辨率了不低于30万像素；</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显示屏：LED户外高清屏；</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不低于64×64分辨率；</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扫码范围：不低于40cm-150cm；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音量：不低于80DB/80cm；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支持以太网通讯及远程管理、固件升级功能；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支持RS232接口通讯；</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IP65+防护等级、雨淋环境下扫码；</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终端工作环境：-20°C，+70℃，相对湿度&lt;95%；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终端存储环境：-40°C，+80℃，相对湿度&lt;98%；</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含扫码枪。</w:t>
      </w:r>
    </w:p>
    <w:p>
      <w:pPr>
        <w:pStyle w:val="7"/>
        <w:ind w:firstLine="504"/>
        <w:rPr>
          <w:color w:val="auto"/>
        </w:rPr>
      </w:pPr>
      <w:r>
        <w:rPr>
          <w:rFonts w:hint="eastAsia"/>
          <w:color w:val="auto"/>
        </w:rPr>
        <w:t>TS404.1.15轴组式计重设备系统</w:t>
      </w:r>
    </w:p>
    <w:bookmarkEnd w:id="288"/>
    <w:p>
      <w:pPr>
        <w:pStyle w:val="177"/>
        <w:ind w:firstLine="480"/>
        <w:rPr>
          <w:rFonts w:asciiTheme="minorEastAsia" w:hAnsiTheme="minorEastAsia"/>
          <w:color w:val="auto"/>
          <w:sz w:val="24"/>
        </w:rPr>
      </w:pPr>
      <w:bookmarkStart w:id="291" w:name="_Toc339457307"/>
      <w:bookmarkStart w:id="292" w:name="_Toc491251642"/>
      <w:bookmarkStart w:id="293" w:name="_Toc487343050"/>
      <w:bookmarkStart w:id="294" w:name="_Toc489177983"/>
      <w:bookmarkStart w:id="295" w:name="_Toc5188544"/>
      <w:bookmarkStart w:id="296" w:name="_Toc490906085"/>
      <w:bookmarkStart w:id="297" w:name="_Toc485612837"/>
      <w:bookmarkStart w:id="298" w:name="_Toc491251301"/>
      <w:bookmarkStart w:id="299" w:name="_Toc487614671"/>
      <w:bookmarkStart w:id="300" w:name="_Toc339459053"/>
      <w:bookmarkStart w:id="301" w:name="_Toc400804571"/>
      <w:bookmarkStart w:id="302" w:name="_Toc340841611"/>
      <w:bookmarkStart w:id="303" w:name="_Toc485975223"/>
      <w:bookmarkStart w:id="304" w:name="_Toc339451649"/>
      <w:bookmarkStart w:id="305" w:name="_Toc487343220"/>
      <w:bookmarkStart w:id="306" w:name="_Toc5188621"/>
      <w:bookmarkStart w:id="307" w:name="_Toc82857106"/>
      <w:bookmarkStart w:id="308" w:name="_Toc487529301"/>
      <w:bookmarkStart w:id="309" w:name="_Toc490905787"/>
      <w:bookmarkStart w:id="310" w:name="_Toc485609673"/>
      <w:bookmarkStart w:id="311" w:name="_Toc341344965"/>
      <w:bookmarkStart w:id="312" w:name="_Toc5188775"/>
      <w:bookmarkStart w:id="313" w:name="_Toc344132858"/>
      <w:bookmarkStart w:id="314" w:name="_Toc340840428"/>
      <w:r>
        <w:rPr>
          <w:rFonts w:asciiTheme="minorEastAsia" w:hAnsiTheme="minorEastAsia"/>
          <w:color w:val="auto"/>
          <w:sz w:val="24"/>
        </w:rPr>
        <w:t>入口称重检测应拒绝违法超限超载车辆驶入高速公路，出口开展出口称重</w:t>
      </w:r>
      <w:r>
        <w:rPr>
          <w:rFonts w:hint="eastAsia" w:asciiTheme="minorEastAsia" w:hAnsiTheme="minorEastAsia"/>
          <w:color w:val="auto"/>
          <w:sz w:val="24"/>
        </w:rPr>
        <w:t>抽</w:t>
      </w:r>
      <w:r>
        <w:rPr>
          <w:rFonts w:asciiTheme="minorEastAsia" w:hAnsiTheme="minorEastAsia"/>
          <w:color w:val="auto"/>
          <w:sz w:val="24"/>
        </w:rPr>
        <w:t>查，通行车辆称重检测数据实时传输至所在收费站系统。实现称重检测数据与收费系统、治超系统数据交换共享、业务协同联动。</w:t>
      </w:r>
    </w:p>
    <w:p>
      <w:pPr>
        <w:pStyle w:val="177"/>
        <w:ind w:firstLine="480"/>
        <w:rPr>
          <w:rFonts w:asciiTheme="minorEastAsia" w:hAnsiTheme="minorEastAsia"/>
          <w:color w:val="auto"/>
          <w:sz w:val="24"/>
        </w:rPr>
      </w:pPr>
      <w:r>
        <w:rPr>
          <w:rFonts w:asciiTheme="minorEastAsia" w:hAnsiTheme="minorEastAsia"/>
          <w:color w:val="auto"/>
          <w:sz w:val="24"/>
        </w:rPr>
        <w:t>ETC货车通行混合车道入口</w:t>
      </w:r>
      <w:r>
        <w:rPr>
          <w:rFonts w:hint="eastAsia" w:asciiTheme="minorEastAsia" w:hAnsiTheme="minorEastAsia"/>
          <w:color w:val="auto"/>
          <w:sz w:val="24"/>
        </w:rPr>
        <w:t>，</w:t>
      </w:r>
      <w:r>
        <w:rPr>
          <w:rFonts w:asciiTheme="minorEastAsia" w:hAnsiTheme="minorEastAsia"/>
          <w:color w:val="auto"/>
          <w:sz w:val="24"/>
        </w:rPr>
        <w:t>称台无重量</w:t>
      </w:r>
      <w:r>
        <w:rPr>
          <w:rFonts w:hint="eastAsia" w:asciiTheme="minorEastAsia" w:hAnsiTheme="minorEastAsia"/>
          <w:color w:val="auto"/>
          <w:sz w:val="24"/>
        </w:rPr>
        <w:t>返回或称台故障，禁止货车通行。</w:t>
      </w:r>
    </w:p>
    <w:p>
      <w:pPr>
        <w:pStyle w:val="177"/>
        <w:ind w:firstLine="480"/>
        <w:rPr>
          <w:rFonts w:asciiTheme="minorEastAsia" w:hAnsiTheme="minorEastAsia"/>
          <w:color w:val="auto"/>
          <w:sz w:val="24"/>
        </w:rPr>
      </w:pPr>
      <w:r>
        <w:rPr>
          <w:rFonts w:hint="eastAsia" w:asciiTheme="minorEastAsia" w:hAnsiTheme="minorEastAsia"/>
          <w:color w:val="auto"/>
          <w:sz w:val="24"/>
        </w:rPr>
        <w:t>当</w:t>
      </w:r>
      <w:r>
        <w:rPr>
          <w:rFonts w:asciiTheme="minorEastAsia" w:hAnsiTheme="minorEastAsia"/>
          <w:color w:val="auto"/>
          <w:sz w:val="24"/>
        </w:rPr>
        <w:t>ETC货车</w:t>
      </w:r>
      <w:r>
        <w:rPr>
          <w:rFonts w:hint="eastAsia" w:asciiTheme="minorEastAsia" w:hAnsiTheme="minorEastAsia"/>
          <w:color w:val="auto"/>
          <w:sz w:val="24"/>
        </w:rPr>
        <w:t>和ETC专项作业车、非</w:t>
      </w:r>
      <w:r>
        <w:rPr>
          <w:rFonts w:asciiTheme="minorEastAsia" w:hAnsiTheme="minorEastAsia"/>
          <w:color w:val="auto"/>
          <w:sz w:val="24"/>
        </w:rPr>
        <w:t>ETC货车</w:t>
      </w:r>
      <w:r>
        <w:rPr>
          <w:rFonts w:hint="eastAsia" w:asciiTheme="minorEastAsia" w:hAnsiTheme="minorEastAsia"/>
          <w:color w:val="auto"/>
          <w:sz w:val="24"/>
        </w:rPr>
        <w:t>和非ETC专项作业车统一超限判定标准，根据称台返回轴数、总重判定车辆超限并进行拦截。</w:t>
      </w:r>
    </w:p>
    <w:p>
      <w:pPr>
        <w:pStyle w:val="177"/>
        <w:ind w:firstLine="480"/>
        <w:rPr>
          <w:rFonts w:asciiTheme="minorEastAsia" w:hAnsiTheme="minorEastAsia"/>
          <w:color w:val="auto"/>
          <w:sz w:val="24"/>
        </w:rPr>
      </w:pPr>
      <w:r>
        <w:rPr>
          <w:rFonts w:asciiTheme="minorEastAsia" w:hAnsiTheme="minorEastAsia"/>
          <w:color w:val="auto"/>
          <w:sz w:val="24"/>
        </w:rPr>
        <w:t>如</w:t>
      </w:r>
      <w:r>
        <w:rPr>
          <w:rFonts w:hint="eastAsia" w:asciiTheme="minorEastAsia" w:hAnsiTheme="minorEastAsia"/>
          <w:color w:val="auto"/>
          <w:sz w:val="24"/>
        </w:rPr>
        <w:t>司机</w:t>
      </w:r>
      <w:r>
        <w:rPr>
          <w:rFonts w:asciiTheme="minorEastAsia" w:hAnsiTheme="minorEastAsia"/>
          <w:color w:val="auto"/>
          <w:sz w:val="24"/>
        </w:rPr>
        <w:t>可当场提供该车最大允许总质量的有效证明文件</w:t>
      </w:r>
      <w:r>
        <w:rPr>
          <w:rFonts w:hint="eastAsia" w:asciiTheme="minorEastAsia" w:hAnsiTheme="minorEastAsia"/>
          <w:color w:val="auto"/>
          <w:sz w:val="24"/>
        </w:rPr>
        <w:t>，</w:t>
      </w:r>
      <w:r>
        <w:rPr>
          <w:rFonts w:asciiTheme="minorEastAsia" w:hAnsiTheme="minorEastAsia"/>
          <w:color w:val="auto"/>
          <w:sz w:val="24"/>
        </w:rPr>
        <w:t>则以证明文件上标明的最大允许总质量作为判定该车是否超限超载的依据</w:t>
      </w:r>
      <w:r>
        <w:rPr>
          <w:rFonts w:hint="eastAsia" w:asciiTheme="minorEastAsia" w:hAnsiTheme="minorEastAsia"/>
          <w:color w:val="auto"/>
          <w:sz w:val="24"/>
        </w:rPr>
        <w:t>。</w:t>
      </w:r>
      <w:r>
        <w:rPr>
          <w:rFonts w:asciiTheme="minorEastAsia" w:hAnsiTheme="minorEastAsia"/>
          <w:color w:val="auto"/>
          <w:sz w:val="24"/>
        </w:rPr>
        <w:t>如果当场无法提供或无法验证证明文件的合法有效性</w:t>
      </w:r>
      <w:r>
        <w:rPr>
          <w:rFonts w:hint="eastAsia" w:asciiTheme="minorEastAsia" w:hAnsiTheme="minorEastAsia"/>
          <w:color w:val="auto"/>
          <w:sz w:val="24"/>
        </w:rPr>
        <w:t>，</w:t>
      </w:r>
      <w:r>
        <w:rPr>
          <w:rFonts w:asciiTheme="minorEastAsia" w:hAnsiTheme="minorEastAsia"/>
          <w:color w:val="auto"/>
          <w:sz w:val="24"/>
        </w:rPr>
        <w:t>则按照 GB</w:t>
      </w:r>
      <w:r>
        <w:rPr>
          <w:rFonts w:hint="eastAsia" w:asciiTheme="minorEastAsia" w:hAnsiTheme="minorEastAsia"/>
          <w:color w:val="auto"/>
          <w:sz w:val="24"/>
        </w:rPr>
        <w:t>1</w:t>
      </w:r>
      <w:r>
        <w:rPr>
          <w:rFonts w:asciiTheme="minorEastAsia" w:hAnsiTheme="minorEastAsia"/>
          <w:color w:val="auto"/>
          <w:sz w:val="24"/>
        </w:rPr>
        <w:t>589—</w:t>
      </w:r>
      <w:r>
        <w:rPr>
          <w:rFonts w:hint="eastAsia" w:asciiTheme="minorEastAsia" w:hAnsiTheme="minorEastAsia"/>
          <w:color w:val="auto"/>
          <w:sz w:val="24"/>
        </w:rPr>
        <w:t>2</w:t>
      </w:r>
      <w:r>
        <w:rPr>
          <w:rFonts w:asciiTheme="minorEastAsia" w:hAnsiTheme="minorEastAsia"/>
          <w:color w:val="auto"/>
          <w:sz w:val="24"/>
        </w:rPr>
        <w:t>016的规定</w:t>
      </w:r>
      <w:r>
        <w:rPr>
          <w:rFonts w:hint="eastAsia" w:asciiTheme="minorEastAsia" w:hAnsiTheme="minorEastAsia"/>
          <w:color w:val="auto"/>
          <w:sz w:val="24"/>
        </w:rPr>
        <w:t>，</w:t>
      </w:r>
      <w:r>
        <w:rPr>
          <w:rFonts w:asciiTheme="minorEastAsia" w:hAnsiTheme="minorEastAsia"/>
          <w:color w:val="auto"/>
          <w:sz w:val="24"/>
        </w:rPr>
        <w:t>按同一轴数限定的最小值作为最大允许总质量限值, 作为判定该车是否超限超载的依据</w:t>
      </w:r>
      <w:r>
        <w:rPr>
          <w:rFonts w:hint="eastAsia" w:asciiTheme="minorEastAsia" w:hAnsiTheme="minorEastAsia"/>
          <w:color w:val="auto"/>
          <w:sz w:val="24"/>
        </w:rPr>
        <w:t>。</w:t>
      </w:r>
    </w:p>
    <w:p>
      <w:pPr>
        <w:spacing w:line="360" w:lineRule="auto"/>
        <w:ind w:firstLine="506"/>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采用</w:t>
      </w:r>
      <w:r>
        <w:rPr>
          <w:rFonts w:cs="宋体" w:asciiTheme="minorEastAsia" w:hAnsiTheme="minorEastAsia" w:eastAsiaTheme="minorEastAsia"/>
          <w:color w:val="auto"/>
          <w:sz w:val="24"/>
          <w:szCs w:val="24"/>
        </w:rPr>
        <w:t>一体式入口称重车道</w:t>
      </w:r>
      <w:r>
        <w:rPr>
          <w:rFonts w:hint="eastAsia" w:cs="宋体" w:asciiTheme="minorEastAsia" w:hAnsiTheme="minorEastAsia" w:eastAsiaTheme="minorEastAsia"/>
          <w:color w:val="auto"/>
          <w:sz w:val="24"/>
          <w:szCs w:val="24"/>
        </w:rPr>
        <w:t>布局，检测模式为：车道内设置入口检测称重设施，货车通过入口检测称重设施后，未超载车辆领卡驶入高速，超载车辆从车道内倒出后在外广场掉头驶离。</w:t>
      </w:r>
    </w:p>
    <w:p>
      <w:pPr>
        <w:spacing w:line="360" w:lineRule="auto"/>
        <w:ind w:firstLine="506"/>
        <w:rPr>
          <w:rFonts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入口、出口称重图像数据包括车辆正面照、车辆尾部照、车辆侧面照３张检测照片和长度不少于５秒的视频记录等。</w:t>
      </w:r>
    </w:p>
    <w:p>
      <w:pPr>
        <w:adjustRightInd w:val="0"/>
        <w:snapToGrid w:val="0"/>
        <w:spacing w:line="360" w:lineRule="auto"/>
        <w:ind w:firstLine="482" w:firstLineChars="200"/>
        <w:rPr>
          <w:rFonts w:asciiTheme="minorEastAsia" w:hAnsiTheme="minorEastAsia" w:eastAsiaTheme="minorEastAsia"/>
          <w:b/>
          <w:bCs/>
          <w:color w:val="auto"/>
          <w:sz w:val="24"/>
          <w:szCs w:val="24"/>
        </w:rPr>
      </w:pPr>
      <w:r>
        <w:rPr>
          <w:rFonts w:hint="eastAsia" w:asciiTheme="minorEastAsia" w:hAnsiTheme="minorEastAsia" w:eastAsiaTheme="minorEastAsia"/>
          <w:b/>
          <w:bCs/>
          <w:color w:val="auto"/>
          <w:sz w:val="24"/>
          <w:szCs w:val="24"/>
        </w:rPr>
        <w:t>MTC货车超限处理</w:t>
      </w:r>
    </w:p>
    <w:p>
      <w:pPr>
        <w:spacing w:line="360" w:lineRule="auto"/>
        <w:ind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w:t>
      </w:r>
      <w:r>
        <w:rPr>
          <w:rFonts w:hint="eastAsia" w:cs="宋体" w:asciiTheme="minorEastAsia" w:hAnsiTheme="minorEastAsia" w:eastAsiaTheme="minorEastAsia"/>
          <w:color w:val="auto"/>
          <w:sz w:val="24"/>
          <w:szCs w:val="24"/>
        </w:rPr>
        <w:t>车辆驶入车道，通过称台后，收费界面右侧中心位置重量区域显示该车车重、轴重、超限吨数、超限率等重量信息；</w:t>
      </w:r>
    </w:p>
    <w:p>
      <w:pPr>
        <w:widowControl/>
        <w:numPr>
          <w:ilvl w:val="0"/>
          <w:numId w:val="3"/>
        </w:numPr>
        <w:spacing w:line="360" w:lineRule="auto"/>
        <w:ind w:firstLine="506"/>
        <w:jc w:val="left"/>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车辆驶入存在线圈触发车牌识别，收费界面显示车牌识别结果；</w:t>
      </w:r>
    </w:p>
    <w:p>
      <w:pPr>
        <w:widowControl/>
        <w:numPr>
          <w:ilvl w:val="0"/>
          <w:numId w:val="3"/>
        </w:numPr>
        <w:spacing w:line="360" w:lineRule="auto"/>
        <w:ind w:firstLine="506"/>
        <w:jc w:val="left"/>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收费员录入车型、车种，按【确认】键，若该车总重量超过治超超限标准，则收费界面弹出“车辆超载”对话框，内容包括轴数、限载、重量、超载和处理方式。</w:t>
      </w:r>
    </w:p>
    <w:p>
      <w:pPr>
        <w:widowControl/>
        <w:numPr>
          <w:ilvl w:val="0"/>
          <w:numId w:val="3"/>
        </w:numPr>
        <w:spacing w:line="360" w:lineRule="auto"/>
        <w:ind w:firstLine="506"/>
        <w:jc w:val="left"/>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若禁止通行，按数字键“1-人工拦截”，界面车辆信息清空，回到请输入车型、车种状态，重量区域的车重信息等待车辆倒出车道后自行删除。</w:t>
      </w:r>
    </w:p>
    <w:p>
      <w:pPr>
        <w:widowControl/>
        <w:numPr>
          <w:ilvl w:val="0"/>
          <w:numId w:val="3"/>
        </w:numPr>
        <w:spacing w:line="360" w:lineRule="auto"/>
        <w:ind w:firstLine="506"/>
        <w:jc w:val="left"/>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若</w:t>
      </w:r>
      <w:bookmarkStart w:id="315" w:name="_Hlk29034755"/>
      <w:r>
        <w:rPr>
          <w:rFonts w:hint="eastAsia" w:cs="宋体" w:asciiTheme="minorEastAsia" w:hAnsiTheme="minorEastAsia" w:eastAsiaTheme="minorEastAsia"/>
          <w:color w:val="auto"/>
          <w:sz w:val="24"/>
          <w:szCs w:val="24"/>
        </w:rPr>
        <w:t>继续发卡，按数字键“2-授权放行”，弹出班长身份验证对话框，身份验证通过后，提示“请刷CPC卡或按故障键”，此时收费员将CPC置于卡机上，程序写卡成功后，提示“请按确认键放行”，收费员按【确认】键，栏杆抬起，车辆驶离通过线圈后，界面该车重量被清除，栏杆落下。</w:t>
      </w:r>
      <w:bookmarkEnd w:id="315"/>
      <w:r>
        <w:rPr>
          <w:rFonts w:hint="eastAsia" w:cs="宋体" w:asciiTheme="minorEastAsia" w:hAnsiTheme="minorEastAsia" w:eastAsiaTheme="minorEastAsia"/>
          <w:color w:val="auto"/>
          <w:sz w:val="24"/>
          <w:szCs w:val="24"/>
        </w:rPr>
        <w:t>若车辆为大件运输车辆，</w:t>
      </w:r>
      <w:r>
        <w:rPr>
          <w:rFonts w:hint="eastAsia" w:cs="Arial" w:asciiTheme="minorEastAsia" w:hAnsiTheme="minorEastAsia" w:eastAsiaTheme="minorEastAsia"/>
          <w:color w:val="auto"/>
          <w:sz w:val="24"/>
          <w:szCs w:val="24"/>
        </w:rPr>
        <w:t>现场工作人员通过在线查询功能核实大件运输车辆有效性，如为合法大件运输车辆，则选择“3-大件运输”，系统提示班长授权，班长授权后，刷CPC卡后，系统抬杠放行。</w:t>
      </w:r>
    </w:p>
    <w:p>
      <w:pPr>
        <w:pStyle w:val="177"/>
        <w:ind w:firstLine="480"/>
        <w:rPr>
          <w:rFonts w:asciiTheme="minorEastAsia" w:hAnsiTheme="minorEastAsia"/>
          <w:color w:val="auto"/>
          <w:sz w:val="24"/>
        </w:rPr>
      </w:pPr>
      <w:r>
        <w:rPr>
          <w:rFonts w:hint="eastAsia" w:asciiTheme="minorEastAsia" w:hAnsiTheme="minorEastAsia"/>
          <w:color w:val="auto"/>
          <w:sz w:val="24"/>
        </w:rPr>
        <w:t>如果司机能提供有效证明文件，证明确实未超限的，按数字键“4-有效证件”，系统提示录入证件总质量。确认后，刷CPC卡，抬杆放行。</w:t>
      </w:r>
    </w:p>
    <w:p>
      <w:pPr>
        <w:adjustRightInd w:val="0"/>
        <w:snapToGrid w:val="0"/>
        <w:spacing w:line="360" w:lineRule="auto"/>
        <w:ind w:firstLine="482" w:firstLineChars="200"/>
        <w:rPr>
          <w:rFonts w:asciiTheme="minorEastAsia" w:hAnsiTheme="minorEastAsia" w:eastAsiaTheme="minorEastAsia"/>
          <w:b/>
          <w:bCs/>
          <w:color w:val="auto"/>
          <w:sz w:val="24"/>
          <w:szCs w:val="24"/>
        </w:rPr>
      </w:pPr>
      <w:r>
        <w:rPr>
          <w:rFonts w:hint="eastAsia" w:asciiTheme="minorEastAsia" w:hAnsiTheme="minorEastAsia" w:eastAsiaTheme="minorEastAsia"/>
          <w:b/>
          <w:bCs/>
          <w:color w:val="auto"/>
          <w:sz w:val="24"/>
          <w:szCs w:val="24"/>
        </w:rPr>
        <w:t>ETC货车超限处理</w:t>
      </w:r>
    </w:p>
    <w:p>
      <w:pPr>
        <w:pStyle w:val="177"/>
        <w:ind w:firstLine="480"/>
        <w:rPr>
          <w:rFonts w:asciiTheme="minorEastAsia" w:hAnsiTheme="minorEastAsia"/>
          <w:color w:val="auto"/>
          <w:sz w:val="24"/>
        </w:rPr>
      </w:pPr>
      <w:r>
        <w:rPr>
          <w:rFonts w:hint="eastAsia" w:asciiTheme="minorEastAsia" w:hAnsiTheme="minorEastAsia"/>
          <w:color w:val="auto"/>
          <w:sz w:val="24"/>
        </w:rPr>
        <w:t>ETC模式下，ETC货车驶入混合车道入口，获取称台总质量及轴数，判定车辆超限后：</w:t>
      </w:r>
    </w:p>
    <w:p>
      <w:pPr>
        <w:pStyle w:val="177"/>
        <w:ind w:firstLine="480"/>
        <w:rPr>
          <w:rFonts w:asciiTheme="minorEastAsia" w:hAnsiTheme="minorEastAsia"/>
          <w:color w:val="auto"/>
          <w:sz w:val="24"/>
        </w:rPr>
      </w:pPr>
      <w:r>
        <w:rPr>
          <w:rFonts w:hint="eastAsia" w:asciiTheme="minorEastAsia" w:hAnsiTheme="minorEastAsia"/>
          <w:color w:val="auto"/>
          <w:sz w:val="24"/>
        </w:rPr>
        <w:t>若允许车辆通行，收费员按【修改(删重)】键，选择【有效证件】，输入实际车辆证件最大总质量，按【确定】后，如果证件最大总质量大于当前车辆称台质量，不判超限，ETC交易成功后，抬杆放行，如果交易失败，则车辆可倒回重新驶入再次尝试交易，如仍交易不成功，则发CPC卡通行。</w:t>
      </w:r>
    </w:p>
    <w:p>
      <w:pPr>
        <w:pStyle w:val="177"/>
        <w:ind w:firstLine="480"/>
        <w:rPr>
          <w:rFonts w:asciiTheme="minorEastAsia" w:hAnsiTheme="minorEastAsia"/>
          <w:color w:val="auto"/>
          <w:sz w:val="24"/>
        </w:rPr>
      </w:pPr>
      <w:r>
        <w:rPr>
          <w:rFonts w:hint="eastAsia" w:asciiTheme="minorEastAsia" w:hAnsiTheme="minorEastAsia"/>
          <w:color w:val="auto"/>
          <w:sz w:val="24"/>
        </w:rPr>
        <w:t>若禁止车辆通行，收费员按【取消】键，劝返车辆倒回车道。</w:t>
      </w:r>
    </w:p>
    <w:p>
      <w:pPr>
        <w:pStyle w:val="177"/>
        <w:ind w:firstLine="480"/>
        <w:rPr>
          <w:rFonts w:asciiTheme="minorEastAsia" w:hAnsiTheme="minorEastAsia"/>
          <w:color w:val="auto"/>
          <w:sz w:val="24"/>
        </w:rPr>
      </w:pPr>
      <w:r>
        <w:rPr>
          <w:rFonts w:hint="eastAsia" w:asciiTheme="minorEastAsia" w:hAnsiTheme="minorEastAsia"/>
          <w:color w:val="auto"/>
          <w:sz w:val="24"/>
        </w:rPr>
        <w:t>（2）性能指标要求</w:t>
      </w:r>
    </w:p>
    <w:p>
      <w:pPr>
        <w:adjustRightInd w:val="0"/>
        <w:snapToGrid w:val="0"/>
        <w:spacing w:line="360" w:lineRule="auto"/>
        <w:ind w:firstLine="482" w:firstLineChars="200"/>
        <w:rPr>
          <w:rFonts w:asciiTheme="minorEastAsia" w:hAnsiTheme="minorEastAsia" w:eastAsiaTheme="minorEastAsia"/>
          <w:b/>
          <w:bCs/>
          <w:color w:val="auto"/>
          <w:sz w:val="24"/>
          <w:szCs w:val="24"/>
        </w:rPr>
      </w:pPr>
      <w:r>
        <w:rPr>
          <w:rFonts w:hint="eastAsia" w:asciiTheme="minorEastAsia" w:hAnsiTheme="minorEastAsia" w:eastAsiaTheme="minorEastAsia"/>
          <w:b/>
          <w:bCs/>
          <w:color w:val="auto"/>
          <w:sz w:val="24"/>
          <w:szCs w:val="24"/>
        </w:rPr>
        <w:t>轴组式计重设备主要技术参数：</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动态整车总重量2级，检定误差≤±1%；</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称重平台（称重台面宽度）：超宽车道≥4.0m；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秤台长度：≥4m；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秤台钢板厚度≥14mm；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最大称量：60t（三联轴组）；</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最高运行速度≥10km/h；</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单轴或轴组载荷准确度等级C级；</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称重显示仪表：准确度等级Ⅲ级；</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安全过载：≥150% FS，极限过载200% FS；</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温度范围：-40℃～+80℃，可在寒区使用；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相对湿度范围：0～95%；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传感器防护等级：IP68；</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使用寿命：10年以上；</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称重传感器精度等级：OIML C3；</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输出检测信息：轴型、胎型、轴距、联轴信息、轴重、连轴重量、总重、行驶状态代码等；</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轴识别准确率：≥99.9%；</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允许车轴停在称重平台上；</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能对各轴组分别进行计量，能准确称量车辆的轴组重量，具有良好的计量线性；</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根据收费车道的坡度，秤台应具有随每个车道坡度大小安装性能，坡度一般不大于</w:t>
      </w:r>
      <w:r>
        <w:rPr>
          <w:rFonts w:asciiTheme="minorEastAsia" w:hAnsiTheme="minorEastAsia" w:eastAsiaTheme="minorEastAsia"/>
          <w:color w:val="auto"/>
          <w:sz w:val="24"/>
          <w:szCs w:val="24"/>
        </w:rPr>
        <w:t>3%；</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防压边装置：秤台两侧加装防压边装置，杜绝走“S"、“压边”等作弊行为；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防擦边轮胎阻隔器：防止货车压边后爆胎情况发生；</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防滑要求：采取有效防滑措施，防滑装置的铺设区域应兼顾小型货车/小轿车及载重车车辆。应采取花纹钢板台面防滑措施；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精度稳定性：设备标定周期12 个月。</w:t>
      </w:r>
    </w:p>
    <w:p>
      <w:pPr>
        <w:spacing w:line="360" w:lineRule="auto"/>
        <w:ind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（3）称重控制器（含软件）</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机柜要求：采用密封设计，可有效防尘，并有独立的温控系统；</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称重数据控制器由数据采集处理单元、控制和接口单元、电源单元、电缆接线、机柜外壳等构成。称重传感器和红外线车辆分离器采集的数据信号全部传入称重控制器，由称重控制器综合分析、处理、计算形成一条完整的车辆称重信息，包括该车辆的轴重、轴组重、轴型、车速、总重、速度等；</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称重数据控制器充分考虑到车道高温、高电磁干扰和高汽车尾气的工作环境，机柜采用不锈钢材质。机柜门缝采取包边防护，使机柜内电子设备免遭风雨、沙尘等自然力破坏；外壳表面保证不锈蚀、不龟裂、不脱落；机柜内的电子设备均采用耐高温元器件，所以机柜内部的温度会维持在适当的范围内；机柜内安装电源防雷击保护器、电源滤波器和电压瞬变抑制器，有防雷、抗浪涌冲击的能力；机柜内采用端子排接线方式，结构布置合理而且便于维护；</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具有开机自检、空闲时定时自检、零点校正、自动温度补偿等能力；</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具备自动缓存功能，能够保存10辆车的数据，在向计算机发送数据失败时，自动存入缓存消息队列并尝试重发，在此次数据未正常送达前不会被下一条数据冲掉，从而保证称重数据的完整性；</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触摸显示屏，可进行标定、参数设置（具有权限密码保护）、数据检测等操作，方便现场调试；具备铅封装置，防止非授权人员修改；</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称重系统兼容全国多个省份公路计重收费和超限检测通讯协议；</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称重系统异常时（如自检异常或程序迷失时）内置系统自动复位（有看门狗电路设计），复位时间小于5s；</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具有自诊断功能：当与车道收费计算机发生通讯故障时，可以通过硬件和软件（收费界面上）发出故障消息；</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可有效识别并正确处理车辆复杂的行驶模式，诸如倒车、半倒车、不完全进入、不完全退出等；</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采用轴数（轴型）—重量—速度组合修正模式，适合更高精度需要；</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具有防作弊功能，能够识别司机的违规行驶（包括：轧秤、跳秤、刹秤、冲秤、走S形等多种形式）并对重量进行修正；</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工作温度范围：-40℃～+80℃；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相对湿度范围：0～95%；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平均故障间隔时间：≥20，000h；</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平均修复时间：≤30min；</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通信接口：RS232、RS485、以太网接口等多种实时传输接口；</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防护等级：IP65；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内含传感器供电电源：DC15V/500mA；</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共模抑制比：＞120dB；</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电源：AC220V（+10%，-15%），50Hz±2%；</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满足GB/T 7724的要求。</w:t>
      </w:r>
    </w:p>
    <w:p>
      <w:pPr>
        <w:spacing w:line="360" w:lineRule="auto"/>
        <w:ind w:firstLine="506"/>
        <w:rPr>
          <w:rFonts w:asciiTheme="minorEastAsia" w:hAnsiTheme="minorEastAsia" w:eastAsiaTheme="minorEastAsia"/>
          <w:color w:val="auto"/>
          <w:sz w:val="24"/>
          <w:szCs w:val="24"/>
        </w:rPr>
      </w:pPr>
      <w:bookmarkStart w:id="316" w:name="_Toc63474178"/>
      <w:bookmarkEnd w:id="316"/>
      <w:bookmarkStart w:id="317" w:name="_Toc230941362"/>
      <w:bookmarkEnd w:id="317"/>
      <w:bookmarkStart w:id="318" w:name="_Toc230940946"/>
      <w:bookmarkEnd w:id="318"/>
      <w:bookmarkStart w:id="319" w:name="_Toc231014231"/>
      <w:bookmarkEnd w:id="319"/>
      <w:bookmarkStart w:id="320" w:name="_Toc231015140"/>
      <w:bookmarkEnd w:id="320"/>
      <w:bookmarkStart w:id="321" w:name="_Toc231014811"/>
      <w:bookmarkEnd w:id="321"/>
      <w:r>
        <w:rPr>
          <w:rFonts w:hint="eastAsia" w:asciiTheme="minorEastAsia" w:hAnsiTheme="minorEastAsia" w:eastAsiaTheme="minorEastAsia"/>
          <w:color w:val="auto"/>
          <w:sz w:val="24"/>
          <w:szCs w:val="24"/>
        </w:rPr>
        <w:t>（4）分车控制设备</w:t>
      </w:r>
    </w:p>
    <w:p>
      <w:pPr>
        <w:spacing w:line="360" w:lineRule="auto"/>
        <w:ind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1）功能要求</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能够在全天候、全气候的情况下实现车辆分离；</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具有开放的、通用的数据传输接口和传输协议；</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红外线车辆分离器主要由成对配置的红外线光幕发射和接收装置、分离器外壳、控制器等构成；</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红外线车辆分离器安装于称重平台前方两侧路边，用高密度的红外光幕连续扫描，能安全消除跟车现象，保证称重检测数据与车辆的一一对应关系；</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红外光栅车辆分离器具备自动除霜功能，不用在防护外壳上加装加热玻璃；具有温湿度控制，可有效防止凝露、结霜，从而保证恶劣天气下光幕正常工作；</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红外线光幕使用编码扫描方式工作，不受阳光、雨、雪、雾的干扰，能安全消除跟车现象，可以检测拖车挂钩，将半挂车、全挂车、单车可靠分离；当两辆车之间间隔较近、同时在计重区域内行驶或者车流量大、车辆排队、有车辆停止于计重区域的，光幕均可以保证称重检测数据与车辆的一一对应关系；</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光幕具有自诊断容错功能，当玻璃窗上有污泥、过多灰尘或光电管故障时，红外线车辆分离器可自动探测故障，并忽略(屏蔽)有问题光束，保持正常工作状态，同时输出报警信号，提醒尽快消除故障，在故障原因解除后，系统可自动回到正常工作状态；</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当红外光幕发生故障时，光幕上方的红色LED指示灯指示相应错误，故障信息会通过串口传给车道收费计算机，由车道收费计算机将光幕的故障信息显示在收费界面上并对此故障信息进行记录。</w:t>
      </w:r>
    </w:p>
    <w:p>
      <w:pPr>
        <w:spacing w:line="360" w:lineRule="auto"/>
        <w:ind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2）性能指标要求</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车辆单车分离精度：晴天≥99.9％，雨雾天气≥99.5%；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采用高能量、高穿透率光电管；</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光栅红外发射管的最高高度：1500mm～2000mm；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光栅红外发射管的最低高度：≤400mm；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最小分辨物尺寸：≤30mm；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两车可分离的最小间距：≤100mm；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红外光发射端与接收端最大距离：14m；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光幕安装高度可调范围：400mm~1600mm；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工作环境温度：-40℃～+80℃；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相对湿度：0～95％；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MTBF≥20000h；</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防护等级：IP67。</w:t>
      </w:r>
    </w:p>
    <w:p>
      <w:pPr>
        <w:spacing w:line="360" w:lineRule="auto"/>
        <w:ind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（5）防雷</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称重设备防雷接地使用收费系统的防雷接地；</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称重设备防雷接地采用多点防雷接地，防雷接地电阻小于4欧姆；</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供电电源安装有电源防雷击保护器、外场设备数字接口采用光电隔离设备，有防浪涌电流能力，传输导线采用密织铜屏蔽层，四芯导线；</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电子部分和所有接口都设置防雷接地或光电隔离保护，保证野外施工与运行的安全。</w:t>
      </w:r>
    </w:p>
    <w:p>
      <w:pPr>
        <w:pStyle w:val="7"/>
        <w:ind w:firstLine="504"/>
        <w:rPr>
          <w:color w:val="auto"/>
        </w:rPr>
      </w:pPr>
      <w:r>
        <w:rPr>
          <w:rFonts w:hint="eastAsia"/>
          <w:color w:val="auto"/>
        </w:rPr>
        <w:t>TS404.1.17</w:t>
      </w:r>
      <w:r>
        <w:rPr>
          <w:color w:val="auto"/>
        </w:rPr>
        <w:t>车型</w:t>
      </w:r>
      <w:r>
        <w:rPr>
          <w:rFonts w:hint="eastAsia"/>
          <w:color w:val="auto"/>
        </w:rPr>
        <w:t>自动</w:t>
      </w:r>
      <w:r>
        <w:rPr>
          <w:color w:val="auto"/>
        </w:rPr>
        <w:t>识别</w:t>
      </w:r>
      <w:r>
        <w:rPr>
          <w:rFonts w:hint="eastAsia"/>
          <w:color w:val="auto"/>
        </w:rPr>
        <w:t>设备</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功能要求：车型识别（自动识别轴数和轮数，输出车型信息，符合《JT/T 489-2019 收费公路车辆通行费车型分类》标准要求），车牌识别，车辆分离，全景多角度监控，视频识别，智能补光，字符叠加，宽温，宽压；</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输出信息：H.264视频，车头大图（≥500万像素），车尾大图（≥500万像素），车辆侧面图（≥500万像素），车牌彩色小图，车牌结果文本，附加信息文本等；</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可识别的车牌类型：可识别符合“GA36-2014”、“GA36.1-2001”、“GA36-2007”标准的民用车牌照和“2012式”军车牌照、“2012式”武警车牌照、新能源车牌照的汉字、字母、数字、颜色等信息；</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车辆抓拍识别率：车辆捕获率≥98%；车辆号牌识别率≥99%；</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车型识别率：车辆分离准确率≥98%；车型识别准确率≥98%；</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轴数轮胎识别率：轴数识别准确率≥98%；轮胎识别准确率≥98%；</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接口要求：2个 100/1000M自适应RJ45，1个 I/O输入I/O输出，1个RS-485，支持多种网络协议，包括TCP/IP、UDP、HTTP、NTP、RTSP协议等；</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调试要求:图像采集单元的三个摄像头一体化，镜头角度可调，支持远程维护，设备的升级、维护、参数调整，可以在网络中的任何一个计算机终端上在线完成；</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电源：AC 100～240V，50～60Hz；</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防护等级：IP55；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平均无故障时间：MTBF ≥ 30000小时；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平均修复时间：MTTR ≤ 90秒。</w:t>
      </w:r>
    </w:p>
    <w:p>
      <w:pPr>
        <w:pStyle w:val="3"/>
        <w:spacing w:after="48" w:line="360" w:lineRule="auto"/>
        <w:ind w:firstLine="504"/>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w:t>
      </w:r>
      <w:bookmarkStart w:id="322" w:name="_Toc417820765"/>
      <w:bookmarkStart w:id="323" w:name="_Toc462042136"/>
      <w:bookmarkStart w:id="324" w:name="_Toc456690605"/>
      <w:bookmarkStart w:id="325" w:name="_Toc430073173"/>
      <w:bookmarkStart w:id="326" w:name="_Toc452711565"/>
      <w:bookmarkStart w:id="327" w:name="_Toc462042608"/>
      <w:bookmarkStart w:id="328" w:name="_Toc472612004"/>
      <w:bookmarkStart w:id="329" w:name="_Toc417182170"/>
      <w:r>
        <w:rPr>
          <w:rFonts w:hint="eastAsia" w:cs="宋体" w:asciiTheme="minorEastAsia" w:hAnsiTheme="minorEastAsia" w:eastAsiaTheme="minorEastAsia"/>
          <w:color w:val="auto"/>
          <w:sz w:val="24"/>
          <w:szCs w:val="24"/>
        </w:rPr>
        <w:t>5  闭路电视监视系统</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22"/>
      <w:bookmarkEnd w:id="323"/>
      <w:bookmarkEnd w:id="324"/>
      <w:bookmarkEnd w:id="325"/>
      <w:bookmarkEnd w:id="326"/>
      <w:bookmarkEnd w:id="327"/>
      <w:bookmarkEnd w:id="328"/>
      <w:bookmarkEnd w:id="329"/>
    </w:p>
    <w:p>
      <w:pPr>
        <w:spacing w:line="360" w:lineRule="auto"/>
        <w:ind w:firstLine="480" w:firstLineChars="200"/>
        <w:rPr>
          <w:rFonts w:cs="宋体" w:asciiTheme="minorEastAsia" w:hAnsiTheme="minorEastAsia" w:eastAsiaTheme="minorEastAsia"/>
          <w:color w:val="auto"/>
          <w:sz w:val="24"/>
          <w:szCs w:val="24"/>
        </w:rPr>
      </w:pPr>
      <w:bookmarkStart w:id="330" w:name="_Toc339451651"/>
      <w:bookmarkStart w:id="331" w:name="_Toc344132860"/>
      <w:bookmarkStart w:id="332" w:name="_Toc340840430"/>
      <w:bookmarkStart w:id="333" w:name="_Toc339459055"/>
      <w:bookmarkStart w:id="334" w:name="_Toc339457309"/>
      <w:bookmarkStart w:id="335" w:name="_Toc340841613"/>
      <w:bookmarkStart w:id="336" w:name="_Toc400804573"/>
      <w:bookmarkStart w:id="337" w:name="_Toc341344967"/>
      <w:r>
        <w:rPr>
          <w:rFonts w:hint="eastAsia" w:cs="宋体" w:asciiTheme="minorEastAsia" w:hAnsiTheme="minorEastAsia" w:eastAsiaTheme="minorEastAsia"/>
          <w:color w:val="auto"/>
          <w:sz w:val="24"/>
          <w:szCs w:val="24"/>
        </w:rPr>
        <w:t>本项目CCTV系统设计，承包人应保证在本项提供的前端监控设备、传输设备及存储设备应可无缝接入路段收费中心监控平台。</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本项目收费监控系统设计，采用路段中心集中监控模式，不设站级监控。</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高速公路视频主要包括收费车道视频，收费广场视频、收费亭视频、门架视频（车牌识别）、道路监控视频，主要用于后期收费稽核、运营管理。在收费网中仅存储收费车道视频及门架视频（车牌识别）。收费广场视频、收费亭视频、室内视频、绿通摄像机及雨棚摄像机与监控视频共网段、同存储。</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本项目收费闭路电视系统由前端网络摄像机，所有摄像机视频编码同时支持H.264和H.265压缩标准。</w:t>
      </w:r>
      <w:r>
        <w:rPr>
          <w:rFonts w:hint="eastAsia" w:cs="宋体" w:asciiTheme="minorEastAsia" w:hAnsiTheme="minorEastAsia" w:eastAsiaTheme="minorEastAsia"/>
          <w:b/>
          <w:color w:val="auto"/>
          <w:sz w:val="24"/>
          <w:szCs w:val="24"/>
        </w:rPr>
        <w:t>摄像机均支持中文字符叠加，车道摄像机支持动态字符叠加，叠加内容的大小和位置可调整</w:t>
      </w:r>
      <w:r>
        <w:rPr>
          <w:rFonts w:hint="eastAsia" w:cs="宋体" w:asciiTheme="minorEastAsia" w:hAnsiTheme="minorEastAsia" w:eastAsiaTheme="minorEastAsia"/>
          <w:color w:val="auto"/>
          <w:sz w:val="24"/>
          <w:szCs w:val="24"/>
        </w:rPr>
        <w:t>。网络摄像机在100米范围内，采用UTP 6 直接接入视频交换机，超过100米采用光纤收发器接入视频交换机。</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各收费站需满足存储不少于6个月图片信息和1个月视频信息。</w:t>
      </w:r>
    </w:p>
    <w:p>
      <w:pPr>
        <w:spacing w:line="360" w:lineRule="auto"/>
        <w:ind w:firstLine="480" w:firstLineChars="200"/>
        <w:rPr>
          <w:rFonts w:cs="宋体" w:asciiTheme="minorEastAsia" w:hAnsiTheme="minorEastAsia" w:eastAsiaTheme="minorEastAsia"/>
          <w:color w:val="auto"/>
          <w:sz w:val="24"/>
          <w:szCs w:val="24"/>
        </w:rPr>
      </w:pPr>
      <w:bookmarkStart w:id="338" w:name="_Hlk99113300"/>
      <w:r>
        <w:rPr>
          <w:rFonts w:hint="eastAsia" w:cs="宋体" w:asciiTheme="minorEastAsia" w:hAnsiTheme="minorEastAsia" w:eastAsiaTheme="minorEastAsia"/>
          <w:color w:val="auto"/>
          <w:sz w:val="24"/>
          <w:szCs w:val="24"/>
        </w:rPr>
        <w:t>高清监控图像存储时编码格式为H.265/H.264,码流为 4</w:t>
      </w:r>
      <w:r>
        <w:rPr>
          <w:rFonts w:cs="宋体" w:asciiTheme="minorEastAsia" w:hAnsiTheme="minorEastAsia" w:eastAsiaTheme="minorEastAsia"/>
          <w:color w:val="auto"/>
          <w:sz w:val="24"/>
          <w:szCs w:val="24"/>
        </w:rPr>
        <w:t>Mbps</w:t>
      </w:r>
      <w:r>
        <w:rPr>
          <w:rFonts w:hint="eastAsia" w:cs="宋体" w:asciiTheme="minorEastAsia" w:hAnsiTheme="minorEastAsia" w:eastAsiaTheme="minorEastAsia"/>
          <w:color w:val="auto"/>
          <w:sz w:val="24"/>
          <w:szCs w:val="24"/>
        </w:rPr>
        <w:t>，图像记录质量分辨率应达到1080P像素，监控视频存储时间30天，采用IP SAN 磁盘阵列进行存储。</w:t>
      </w:r>
    </w:p>
    <w:p>
      <w:pPr>
        <w:spacing w:line="360" w:lineRule="auto"/>
        <w:ind w:firstLine="482" w:firstLineChars="20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监控网：收费站接入干线视频监控，ETC门架监控，收费广场监控及收费亭、室内监控。</w:t>
      </w:r>
    </w:p>
    <w:p>
      <w:pPr>
        <w:spacing w:line="360" w:lineRule="auto"/>
        <w:ind w:firstLine="482" w:firstLineChars="20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收费网：收费站收费车道摄像机，汇聚的ETC门架系统车牌识别摄像机。</w:t>
      </w:r>
    </w:p>
    <w:p>
      <w:pPr>
        <w:spacing w:line="360" w:lineRule="auto"/>
        <w:ind w:firstLine="482" w:firstLineChars="20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本项目收费车道视频采用主节点内车牌识别视频流，监控栏杆起落及自助交易设备运行状况，设计雨棚摄像机，采用吊装方式。</w:t>
      </w:r>
    </w:p>
    <w:bookmarkEnd w:id="338"/>
    <w:p>
      <w:pPr>
        <w:pStyle w:val="3"/>
        <w:spacing w:after="48" w:line="360" w:lineRule="auto"/>
        <w:ind w:firstLine="504"/>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TS405.1  系统构成</w:t>
      </w:r>
      <w:bookmarkEnd w:id="330"/>
      <w:bookmarkEnd w:id="331"/>
      <w:bookmarkEnd w:id="332"/>
      <w:bookmarkEnd w:id="333"/>
      <w:bookmarkEnd w:id="334"/>
      <w:bookmarkEnd w:id="335"/>
      <w:bookmarkEnd w:id="336"/>
      <w:bookmarkEnd w:id="337"/>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收费闭路电视监视系统实行二级监控：即路段收费中心、收费站两级监控。</w:t>
      </w:r>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监视系统由前端设备、传输设备及存储控制设备三部分组成。前端设备包括广场摄像机、车道摄像机、收费亭摄像机（拾音器）等；传输设备包括广场以太网交换机、视频以太网交换机等设备；存储控制设备包含计算机、存储设备、显示设备等。</w:t>
      </w:r>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各收费广场通过视频以太网交换机上传所有图像收费站，各收费站图像通过通信系统综合业务接入网传入监控中心，实现收费视频联网监控，本地可通过软件实现控制优先。</w:t>
      </w:r>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1、前端设备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车道摄像机：利用主节点车牌识别视频流对通过的车辆和收费员的对应操作过程进行监视。每辆车都进行视频抓拍，将抓拍的特殊车辆图片缓储在车道控制器里，并将特殊车情的抓拍图片通过以太网上传至收费站、路段收费中心数据服务器中进行存储，供主控及图像处理计算机进行处理、检索。</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收费亭摄像机：每个收费亭设置一台亭内摄像机，可以配合车道摄像机视频监视收费员的操作，还可以监视收费亭内的情况，保证收费员的人身安全。</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收费广场摄像机：广场摄像机安装在收费广场两侧渐变段的土路肩上。用于监视收费广场范围发生的交通堵塞状况及其它异常状况。</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拾音器：安装在每个收费亭内，存储编码器可对音视频进行同步录像录音，并可进行回放，以备稽查和事故处理，值班人员可通过音箱实时监听收费员的谈话。</w:t>
      </w:r>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2、传输设备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视频交换机：所有视频信号通过广场视频交换机传输至收费站机房。</w:t>
      </w:r>
    </w:p>
    <w:p>
      <w:pPr>
        <w:pStyle w:val="3"/>
        <w:spacing w:after="48" w:line="360" w:lineRule="auto"/>
        <w:ind w:firstLine="504"/>
        <w:rPr>
          <w:rFonts w:cs="宋体" w:asciiTheme="minorEastAsia" w:hAnsiTheme="minorEastAsia" w:eastAsiaTheme="minorEastAsia"/>
          <w:color w:val="auto"/>
          <w:sz w:val="24"/>
          <w:szCs w:val="24"/>
        </w:rPr>
      </w:pPr>
      <w:bookmarkStart w:id="339" w:name="_Toc340841614"/>
      <w:bookmarkStart w:id="340" w:name="_Toc339451652"/>
      <w:bookmarkStart w:id="341" w:name="_Toc82857108"/>
      <w:bookmarkStart w:id="342" w:name="_Toc339457310"/>
      <w:bookmarkStart w:id="343" w:name="_Toc339459056"/>
      <w:bookmarkStart w:id="344" w:name="_Toc400804574"/>
      <w:bookmarkStart w:id="345" w:name="_Toc341344968"/>
      <w:bookmarkStart w:id="346" w:name="_Toc344132861"/>
      <w:bookmarkStart w:id="347" w:name="_Toc340840431"/>
      <w:r>
        <w:rPr>
          <w:rFonts w:hint="eastAsia" w:cs="宋体" w:asciiTheme="minorEastAsia" w:hAnsiTheme="minorEastAsia" w:eastAsiaTheme="minorEastAsia"/>
          <w:color w:val="auto"/>
          <w:sz w:val="24"/>
          <w:szCs w:val="24"/>
        </w:rPr>
        <w:t>TS405.2  闭路电视监视系统的功能</w:t>
      </w:r>
      <w:bookmarkEnd w:id="339"/>
      <w:bookmarkEnd w:id="340"/>
      <w:bookmarkEnd w:id="341"/>
      <w:bookmarkEnd w:id="342"/>
      <w:bookmarkEnd w:id="343"/>
      <w:bookmarkEnd w:id="344"/>
      <w:bookmarkEnd w:id="345"/>
      <w:bookmarkEnd w:id="346"/>
      <w:bookmarkEnd w:id="347"/>
    </w:p>
    <w:p>
      <w:pPr>
        <w:pStyle w:val="30"/>
        <w:spacing w:line="360" w:lineRule="auto"/>
        <w:ind w:firstLine="504" w:firstLineChars="210"/>
        <w:rPr>
          <w:rFonts w:cs="宋体" w:asciiTheme="minorEastAsia" w:hAnsiTheme="minorEastAsia" w:eastAsiaTheme="minorEastAsia"/>
          <w:color w:val="auto"/>
          <w:sz w:val="24"/>
          <w:szCs w:val="24"/>
        </w:rPr>
      </w:pPr>
      <w:bookmarkStart w:id="348" w:name="_Toc82857109"/>
      <w:r>
        <w:rPr>
          <w:rFonts w:hint="eastAsia" w:cs="宋体" w:asciiTheme="minorEastAsia" w:hAnsiTheme="minorEastAsia" w:eastAsiaTheme="minorEastAsia"/>
          <w:color w:val="auto"/>
          <w:sz w:val="24"/>
          <w:szCs w:val="24"/>
        </w:rPr>
        <w:t>1、视频切换</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在各个收费站设置视频以太网交换机及图像计算机，供分中心任意控制切换所有视频图像，对所有收费亭、收费车道和收费广场进行监视；中心监控员可以操作广场摄像机的镜头拍摄到收费广场的任一角落；能与报警系统产生联动，一旦报警，广场摄像机自动转至相关车道，路段收费中心内的图形处理计算机立即切换该车道的相关视频（包括车道、亭内、广场），这样可以及时了解收费广场状态；并可以通过视频存储服务器对本段时间内的数字视频录像进行标记并上传视频服务器。</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2、图片抓拍</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车道控制器可抓拍所有车辆图片，记录并向收费站数据服务器、路段收费中心数据服务器上传车辆图片，一方面可以配合收费亭摄像机图片，监督收费员的收费操作、车型判别、管理通行车辆，另一方面可以提供反查。</w:t>
      </w:r>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3、视频、图片存储</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视频存储服务器对各摄像机视频进行24小时不间断录像，正常图片保存30天后自动删除；</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收费站视频存储服务器中报警、特殊车辆通过时的车道、收费亭、广场视、音频可以在本地至少保留1个月，当硬盘容量达到极限的时候冲掉最早的视频图像。</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4、视频稽查</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各站可以通过计算机在网络上浏览记录在视频存储服务器上的历史视频文件，以方便稽查。</w:t>
      </w:r>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5、音频监听</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各站可通过计算机在网络上浏览记录在视频存储服务器上的历史音频文件，以方便稽查。</w:t>
      </w:r>
    </w:p>
    <w:p>
      <w:pPr>
        <w:pStyle w:val="3"/>
        <w:spacing w:after="48" w:line="360" w:lineRule="auto"/>
        <w:ind w:firstLine="504"/>
        <w:rPr>
          <w:rFonts w:cs="宋体" w:asciiTheme="minorEastAsia" w:hAnsiTheme="minorEastAsia" w:eastAsiaTheme="minorEastAsia"/>
          <w:color w:val="auto"/>
          <w:sz w:val="24"/>
          <w:szCs w:val="24"/>
        </w:rPr>
      </w:pPr>
      <w:bookmarkStart w:id="349" w:name="_Toc344132862"/>
      <w:bookmarkStart w:id="350" w:name="_Toc341344969"/>
      <w:bookmarkStart w:id="351" w:name="_Toc339459057"/>
      <w:bookmarkStart w:id="352" w:name="_Toc339451653"/>
      <w:bookmarkStart w:id="353" w:name="_Toc400804575"/>
      <w:bookmarkStart w:id="354" w:name="_Toc340840432"/>
      <w:bookmarkStart w:id="355" w:name="_Toc339457311"/>
      <w:bookmarkStart w:id="356" w:name="_Toc340841615"/>
      <w:r>
        <w:rPr>
          <w:rFonts w:hint="eastAsia" w:cs="宋体" w:asciiTheme="minorEastAsia" w:hAnsiTheme="minorEastAsia" w:eastAsiaTheme="minorEastAsia"/>
          <w:color w:val="auto"/>
          <w:sz w:val="24"/>
          <w:szCs w:val="24"/>
        </w:rPr>
        <w:t>TS405.3 设备主要技术指标</w:t>
      </w:r>
      <w:bookmarkEnd w:id="348"/>
      <w:bookmarkEnd w:id="349"/>
      <w:bookmarkEnd w:id="350"/>
      <w:bookmarkEnd w:id="351"/>
      <w:bookmarkEnd w:id="352"/>
      <w:bookmarkEnd w:id="353"/>
      <w:bookmarkEnd w:id="354"/>
      <w:bookmarkEnd w:id="355"/>
      <w:bookmarkEnd w:id="356"/>
    </w:p>
    <w:p>
      <w:pPr>
        <w:pStyle w:val="7"/>
        <w:ind w:firstLine="504"/>
        <w:rPr>
          <w:color w:val="auto"/>
        </w:rPr>
      </w:pPr>
      <w:r>
        <w:rPr>
          <w:rFonts w:hint="eastAsia"/>
          <w:color w:val="auto"/>
        </w:rPr>
        <w:t>TS405.3.1 收费亭、室内摄像机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1/2.8逐行扫描CMOS传感器；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最大图像尺寸：2560×1440；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HDTV视频标准:1080P(1920x1080)，至少2个独立可配置720P，帧速达到30/25帧/秒；</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支持ONVIF1.0.1和ONVIF2.0标准；</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传输方式：支持单播和组播；</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动态范围：支持背光抑制，宽动态；</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支持双向全双工音频；</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3-9mm镜头，F1.3，自动光圈，支持P-Iris技术；</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彩色：≤0.2lux/F1.3，黑白：0.04lux/F1.3；</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至少支持1个IO报警输入接口，1个IO输出接口；</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工作温度：－10℃～＋50℃，12VDC/24VAC。</w:t>
      </w:r>
    </w:p>
    <w:p>
      <w:pPr>
        <w:pStyle w:val="7"/>
        <w:ind w:firstLine="504"/>
        <w:rPr>
          <w:color w:val="auto"/>
        </w:rPr>
      </w:pPr>
      <w:r>
        <w:rPr>
          <w:rFonts w:hint="eastAsia"/>
          <w:color w:val="auto"/>
        </w:rPr>
        <w:t>TS405.3.2 车道绿通摄像机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1/2.8"逐行扫描CMOS传感器；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焦距范围：3.8-13mm；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最低照度：彩色0.18Lux F1.3/黑白0.04 lux F1.3；</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最大图像尺寸：2560×1440；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支持ONVIF1.0.1和ONVIF2.0标准；</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传输方式：支持单播和组播；</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支持多次曝光的宽动态，强光抑制，动态范围可达</w:t>
      </w:r>
      <w:r>
        <w:rPr>
          <w:rFonts w:asciiTheme="minorEastAsia" w:hAnsiTheme="minorEastAsia" w:eastAsiaTheme="minorEastAsia"/>
          <w:color w:val="auto"/>
          <w:sz w:val="24"/>
          <w:szCs w:val="24"/>
        </w:rPr>
        <w:t xml:space="preserve"> 120db</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支持High Profile、Main和Basic line Profile、</w:t>
      </w:r>
      <w:r>
        <w:rPr>
          <w:rFonts w:asciiTheme="minorEastAsia" w:hAnsiTheme="minorEastAsia" w:eastAsiaTheme="minorEastAsia"/>
          <w:color w:val="auto"/>
          <w:sz w:val="24"/>
          <w:szCs w:val="24"/>
        </w:rPr>
        <w:t xml:space="preserve"> Motion JPEG</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三种曝光模式，支持程序控制模式、手动模式和快门模式,隐私区域功能；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支持前端嵌入式智能分析，开放接口；</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支持8-28VDC和 POE两种供电方式；</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防护罩应配室外型全天候防护罩，具有自动加热、遮 阳等功能；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2米不锈钢立柱；</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安装</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摄像机安装高度为离开路面约2.0m，能清楚地观察车道的交通状况；</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摄像机立柱由不锈钢钢管制成，而且在强风下不会晃动；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支持中文字符叠加，其大小位置可调。</w:t>
      </w:r>
    </w:p>
    <w:p>
      <w:pPr>
        <w:pStyle w:val="7"/>
        <w:ind w:firstLine="504"/>
        <w:rPr>
          <w:color w:val="auto"/>
        </w:rPr>
      </w:pPr>
      <w:r>
        <w:rPr>
          <w:rFonts w:hint="eastAsia"/>
          <w:color w:val="auto"/>
        </w:rPr>
        <w:t>TS405.3.3 收费广场摄像机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不少于2个全景摄像机和1个细节摄像机组成，2个全景摄像机CMOS图像传感器靶面尺寸不低于1/1.8英寸，细节摄像机CMOS图像传感器靶面尺寸不低于1/1.8英寸;</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全景有效像素不小于600万像素，细节有效像素不小于400万像素;</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最低照度:彩色不大于0.0002lx，黑白不大于0.0001lx;</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细节摄像机光学变倍≥40倍，最大焦距不小于220mm;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补光灯距离:细节≥250米，全景≥30米:</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垂直旋转范围:全景:5°～17°，细节:-30°～90°;水平旋转范围:细节:0°～360°连续旋转;</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支持对镜头前盖玻璃加热,去除玻璃上的冰状和水状附着物;</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支持自动或手动启动雨刷,对屏幕进行清洁。</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水平0°～360°,垂直-30°～90°旋转:</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内置补光灯，RJ45 100M/1000M自适应以太网口。</w:t>
      </w:r>
    </w:p>
    <w:p>
      <w:pPr>
        <w:pStyle w:val="7"/>
        <w:ind w:firstLine="504"/>
        <w:rPr>
          <w:color w:val="auto"/>
        </w:rPr>
      </w:pPr>
      <w:r>
        <w:rPr>
          <w:rFonts w:hint="eastAsia"/>
          <w:color w:val="auto"/>
        </w:rPr>
        <w:t>TS405.3.4雨棚摄像机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1/2.9逐行扫描400万像素CMOS图像传感器；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44倍光学变焦，5-220mm镜头；</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最低照度：0.002lux(F1.2，AGC ON)0lux(开启红外)；</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可编程预置位：100个以上；</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支持光学透雾，穿透雾霾成像，图像清晰；</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视窗表面采用镀膜处理，具有良好的憎水、防尘沾染特性；</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增强型除雪模式，有效去除高寒天气下的视窗结冰；</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最大图像尺寸：2560×1440；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1080P(1920*1080)最大60帧/秒，支持H.265、H.264、MJPEG编码协议；</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支持ONVIF1.0.1和ONVIF2.0标准；</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传输方式：支持单播和组播；</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支持宽动态、支持慢快门、定时彩转黑功能；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支持预置位，水平扫描，自动扫描，定时巡视，常规巡视和前端嵌入式智能分析等功能；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360°水平旋转，-15°-90°(自动翻转)垂直旋转；</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AC 24V±25%（默认电源）、DC 24V±25%；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工作温度：-45</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-70</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,防护等级IP66。</w:t>
      </w:r>
      <w:r>
        <w:rPr>
          <w:rFonts w:hint="eastAsia" w:asciiTheme="minorEastAsia" w:hAnsiTheme="minorEastAsia" w:eastAsiaTheme="minorEastAsia"/>
          <w:color w:val="auto"/>
          <w:sz w:val="24"/>
          <w:szCs w:val="24"/>
        </w:rPr>
        <w:t xml:space="preserve"> </w:t>
      </w:r>
    </w:p>
    <w:p>
      <w:pPr>
        <w:pStyle w:val="7"/>
        <w:ind w:firstLine="504"/>
        <w:rPr>
          <w:color w:val="auto"/>
        </w:rPr>
      </w:pPr>
      <w:r>
        <w:rPr>
          <w:rFonts w:hint="eastAsia"/>
          <w:color w:val="auto"/>
        </w:rPr>
        <w:t>TS405.3.5 IP SAN视频存储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双控制器，缓存：64G；</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硬盘：12块8T；支持SAS/NL SAS/SSD；</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前端端口：4个1Gb iSCSI，支持1</w:t>
      </w:r>
      <w:r>
        <w:rPr>
          <w:rFonts w:asciiTheme="minorEastAsia" w:hAnsiTheme="minorEastAsia" w:eastAsiaTheme="minorEastAsia"/>
          <w:color w:val="auto"/>
          <w:sz w:val="24"/>
          <w:szCs w:val="24"/>
        </w:rPr>
        <w:t>0</w:t>
      </w:r>
      <w:r>
        <w:rPr>
          <w:rFonts w:hint="eastAsia" w:asciiTheme="minorEastAsia" w:hAnsiTheme="minorEastAsia" w:eastAsiaTheme="minorEastAsia"/>
          <w:color w:val="auto"/>
          <w:sz w:val="24"/>
          <w:szCs w:val="24"/>
        </w:rPr>
        <w:t>Gb iSCSI、25 Gb iSCSI和16 Gb</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FC；</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支持的功能：内部存储虚拟化、自动精简配置、单向数据迁移。</w:t>
      </w:r>
    </w:p>
    <w:p>
      <w:pPr>
        <w:pStyle w:val="7"/>
        <w:ind w:firstLine="504"/>
        <w:rPr>
          <w:color w:val="auto"/>
        </w:rPr>
      </w:pPr>
      <w:r>
        <w:rPr>
          <w:rFonts w:hint="eastAsia"/>
          <w:color w:val="auto"/>
        </w:rPr>
        <w:t>TS405.3.6 视频交换机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交换容量不小于1.28Tbps，包转发速率不小于266Mpps；</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至少24个10/100/1000M </w:t>
      </w:r>
      <w:r>
        <w:rPr>
          <w:rFonts w:asciiTheme="minorEastAsia" w:hAnsiTheme="minorEastAsia" w:eastAsiaTheme="minorEastAsia"/>
          <w:color w:val="auto"/>
          <w:sz w:val="24"/>
          <w:szCs w:val="24"/>
        </w:rPr>
        <w:t>Base-T</w:t>
      </w:r>
      <w:r>
        <w:rPr>
          <w:rFonts w:hint="eastAsia" w:asciiTheme="minorEastAsia" w:hAnsiTheme="minorEastAsia" w:eastAsiaTheme="minorEastAsia"/>
          <w:color w:val="auto"/>
          <w:sz w:val="24"/>
          <w:szCs w:val="24"/>
        </w:rPr>
        <w:t>端口，4个SFP万兆以太网光口（含2个单模光模块，传输距离≥10km。）；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支持IGMP Snooping，IGMP，组播VLAN等组播协议；</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支持VLAN功能，支持4K个符合IEEE 802.1Q标准的VLAN，支持基于端口的VLAN和基于协议的VLAN；</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支持全双工，支持IEEE 802.3x流控（全双工），支持背压式流控（半双工）；</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支持IPv4和IPv6的三层路由功能；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 MAC地址表：支持</w:t>
      </w:r>
      <w:r>
        <w:rPr>
          <w:rFonts w:asciiTheme="minorEastAsia" w:hAnsiTheme="minorEastAsia" w:eastAsiaTheme="minorEastAsia"/>
          <w:color w:val="auto"/>
          <w:sz w:val="24"/>
          <w:szCs w:val="24"/>
        </w:rPr>
        <w:t>MAC</w:t>
      </w:r>
      <w:r>
        <w:rPr>
          <w:rFonts w:hint="eastAsia" w:asciiTheme="minorEastAsia" w:hAnsiTheme="minorEastAsia" w:eastAsiaTheme="minorEastAsia"/>
          <w:color w:val="auto"/>
          <w:sz w:val="24"/>
          <w:szCs w:val="24"/>
        </w:rPr>
        <w:t>地址自动学，IEEE 802.1D标准，支持静态MAC地址；</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支持流量控制（Flow Control），支持服务质量（QoS），生成树协议支持，广播风暴控制，802.1x认证支持，支持端口汇聚，镜像支持等；</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支持DHCP Server、DHCPv6 Server、SAVI功能，支持BFD FOR VRRP、RRPP、PVST功能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配置两个模块化可插拔交流电源；</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工作温度：-5℃～45℃；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工作湿度：5％～95％。</w:t>
      </w:r>
    </w:p>
    <w:p>
      <w:pPr>
        <w:pStyle w:val="7"/>
        <w:ind w:firstLine="504"/>
        <w:rPr>
          <w:color w:val="auto"/>
        </w:rPr>
      </w:pPr>
      <w:r>
        <w:rPr>
          <w:rFonts w:hint="eastAsia"/>
          <w:color w:val="auto"/>
        </w:rPr>
        <w:t>TS405.3.7光纤收发器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bookmarkStart w:id="357" w:name="_Toc371608447"/>
      <w:bookmarkStart w:id="358" w:name="_Toc371358560"/>
      <w:r>
        <w:rPr>
          <w:rFonts w:hint="eastAsia" w:asciiTheme="minorEastAsia" w:hAnsiTheme="minorEastAsia" w:eastAsiaTheme="minorEastAsia"/>
          <w:color w:val="auto"/>
          <w:sz w:val="24"/>
          <w:szCs w:val="24"/>
        </w:rPr>
        <w:t>单模，10/100M 自适应以太网接口不低于4个，发射波长1310，传输距离＞4KM。</w:t>
      </w:r>
    </w:p>
    <w:p>
      <w:pPr>
        <w:pStyle w:val="7"/>
        <w:ind w:firstLine="504"/>
        <w:rPr>
          <w:color w:val="auto"/>
        </w:rPr>
      </w:pPr>
      <w:r>
        <w:rPr>
          <w:rFonts w:hint="eastAsia"/>
          <w:color w:val="auto"/>
        </w:rPr>
        <w:t>TS405.3.8数字功放</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机柜式单通道网络音频解码设备，内置数字功率放大器；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内置250W定阻（4-16Ω），定压（70V、100V）功放输出，功率强劲，自由选配;</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采用嵌入式ARM9处理器；高速工业级芯片，运行稳定可靠；</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内置网络IP解码模块，支持TCP/IP、UDP、IGMP(组播)协议，实现网络化传输16位立体声CD音质的音乐信号；</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1路线路（AUX）和1路话筒（MIC）输入，实现本地外接音源输入和紧急广播输入，具有独立的音量调节；</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1路音频信号辅助输出，方便扩展外接功率放大器；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所有音频信号支持高低音提升、衰减调节；使音质自由选择；</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智能电源管理，无音乐或呼叫时，设备自动切断主电源，进入待机状态，待机功率小同时可软件设置提前预打开主电源时间；</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支持以太网接入，支持跨网段和跨路由。</w:t>
      </w:r>
    </w:p>
    <w:p>
      <w:pPr>
        <w:pStyle w:val="7"/>
        <w:ind w:firstLine="504"/>
        <w:rPr>
          <w:color w:val="auto"/>
        </w:rPr>
      </w:pPr>
      <w:r>
        <w:rPr>
          <w:rFonts w:hint="eastAsia"/>
          <w:color w:val="auto"/>
        </w:rPr>
        <w:t>TS405.3.9网络广播主机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可直接接入标准TCP/IP协议的网络；</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具备自动故障修复功能；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超级数据处理能力;</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支持多线程数据处理，支持多用户在线服务；</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全数字信号处理、传输；</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支持7×24小时无间断工作；</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自动检测网络广播分主机及IP网络终端，可在管理软件中及时提示各种状态信息。</w:t>
      </w:r>
    </w:p>
    <w:p>
      <w:pPr>
        <w:pStyle w:val="7"/>
        <w:ind w:firstLine="504"/>
        <w:rPr>
          <w:b w:val="0"/>
          <w:color w:val="auto"/>
        </w:rPr>
      </w:pPr>
      <w:bookmarkStart w:id="359" w:name="OLE_LINK36"/>
      <w:r>
        <w:rPr>
          <w:rFonts w:hint="eastAsia"/>
          <w:color w:val="auto"/>
        </w:rPr>
        <w:t>TS405.3.10电源防雷器</w:t>
      </w:r>
    </w:p>
    <w:bookmarkEnd w:id="359"/>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最大持续电压Uc：≥275VAC/每通道；</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暂态过电压UTOV ≥380VAC/每通道；</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最大放电电流Imax（8/20 us）：≥35kA/每通道；</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5kA时残压Ures：≦950V/每通道；</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电压保护水平Up：≦1.25kV/每通道；</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响应时间ta：≦1ns/每通道；</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采用后备保护熔断器≤100A（gL/gG）或断路器。</w:t>
      </w:r>
    </w:p>
    <w:p>
      <w:pPr>
        <w:pStyle w:val="7"/>
        <w:ind w:firstLine="504"/>
        <w:rPr>
          <w:color w:val="auto"/>
        </w:rPr>
      </w:pPr>
      <w:r>
        <w:rPr>
          <w:rFonts w:hint="eastAsia"/>
          <w:color w:val="auto"/>
        </w:rPr>
        <w:t>TS405.3.11网络防雷器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防雷器设定电压Uc：≥14VDC；</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标称负载电流IN：≥1.0A；</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最大放电电流Imax(8/20 us)：10kA；</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冲击放电电流Iimp(10/350 us)：≥1kA；</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电压保护水平Up：≦850V；</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响应时间ta：≤1ns；</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截止频率: 250MHz；</w:t>
      </w:r>
    </w:p>
    <w:p>
      <w:pPr>
        <w:numPr>
          <w:ilvl w:val="0"/>
          <w:numId w:val="1"/>
        </w:numPr>
        <w:adjustRightInd w:val="0"/>
        <w:snapToGrid w:val="0"/>
        <w:spacing w:line="360" w:lineRule="auto"/>
        <w:ind w:left="0" w:firstLine="506"/>
        <w:rPr>
          <w:color w:val="auto"/>
        </w:rPr>
      </w:pPr>
      <w:r>
        <w:rPr>
          <w:rFonts w:hint="eastAsia" w:asciiTheme="minorEastAsia" w:hAnsiTheme="minorEastAsia" w:eastAsiaTheme="minorEastAsia"/>
          <w:color w:val="auto"/>
          <w:sz w:val="24"/>
          <w:szCs w:val="24"/>
        </w:rPr>
        <w:t>具备屏蔽性能。</w:t>
      </w:r>
    </w:p>
    <w:p>
      <w:pPr>
        <w:pStyle w:val="7"/>
        <w:ind w:firstLine="504"/>
        <w:rPr>
          <w:color w:val="auto"/>
        </w:rPr>
      </w:pPr>
      <w:r>
        <w:rPr>
          <w:rFonts w:hint="eastAsia"/>
          <w:color w:val="auto"/>
        </w:rPr>
        <w:t>TS 405.3.12杆件要求</w:t>
      </w:r>
      <w:bookmarkEnd w:id="357"/>
      <w:bookmarkEnd w:id="358"/>
    </w:p>
    <w:p>
      <w:pPr>
        <w:autoSpaceDE w:val="0"/>
        <w:autoSpaceDN w:val="0"/>
        <w:adjustRightInd w:val="0"/>
        <w:spacing w:line="360" w:lineRule="auto"/>
        <w:ind w:firstLine="506" w:firstLineChars="210"/>
        <w:rPr>
          <w:rFonts w:cs="宋体" w:asciiTheme="minorEastAsia" w:hAnsiTheme="minorEastAsia" w:eastAsiaTheme="minorEastAsia"/>
          <w:b/>
          <w:bCs/>
          <w:color w:val="auto"/>
          <w:sz w:val="24"/>
          <w:szCs w:val="24"/>
        </w:rPr>
      </w:pPr>
      <w:r>
        <w:rPr>
          <w:rFonts w:hint="eastAsia" w:cs="宋体" w:asciiTheme="minorEastAsia" w:hAnsiTheme="minorEastAsia" w:eastAsiaTheme="minorEastAsia"/>
          <w:b/>
          <w:bCs/>
          <w:color w:val="auto"/>
          <w:sz w:val="24"/>
          <w:szCs w:val="24"/>
        </w:rPr>
        <w:t>本项目中的收费广场摄像机均采用热浸镀锌后再喷塑的防腐处理方式，应满足《公路交通工程钢构件防腐技术条件》（GB/T 18226-2015）的要求，详见图纸。</w:t>
      </w:r>
      <w:r>
        <w:rPr>
          <w:rFonts w:hint="eastAsia" w:cs="宋体" w:asciiTheme="minorEastAsia" w:hAnsiTheme="minorEastAsia" w:eastAsiaTheme="minorEastAsia"/>
          <w:b/>
          <w:bCs/>
          <w:color w:val="auto"/>
          <w:sz w:val="24"/>
          <w:szCs w:val="24"/>
        </w:rPr>
        <w:t>杆件螺栓</w:t>
      </w:r>
      <w:r>
        <w:rPr>
          <w:rFonts w:cs="宋体" w:asciiTheme="minorEastAsia" w:hAnsiTheme="minorEastAsia" w:eastAsiaTheme="minorEastAsia"/>
          <w:b/>
          <w:bCs/>
          <w:color w:val="auto"/>
          <w:sz w:val="24"/>
          <w:szCs w:val="24"/>
        </w:rPr>
        <w:t>均应配备垫片。</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本项目中的车道绿通摄像机立柱应由不锈钢钢管制成，详见图纸。</w:t>
      </w:r>
    </w:p>
    <w:p>
      <w:pPr>
        <w:pStyle w:val="3"/>
        <w:spacing w:after="48" w:line="360" w:lineRule="auto"/>
        <w:ind w:firstLine="504"/>
        <w:rPr>
          <w:rFonts w:cs="宋体" w:asciiTheme="minorEastAsia" w:hAnsiTheme="minorEastAsia" w:eastAsiaTheme="minorEastAsia"/>
          <w:bCs/>
          <w:color w:val="auto"/>
          <w:sz w:val="24"/>
          <w:szCs w:val="24"/>
        </w:rPr>
      </w:pPr>
      <w:bookmarkStart w:id="360" w:name="_Toc400804576"/>
      <w:bookmarkStart w:id="361" w:name="_Toc339451661"/>
      <w:bookmarkStart w:id="362" w:name="_Toc82857117"/>
      <w:bookmarkStart w:id="363" w:name="_Toc344132872"/>
      <w:bookmarkStart w:id="364" w:name="_Toc341344978"/>
      <w:bookmarkStart w:id="365" w:name="_Toc340841625"/>
      <w:bookmarkStart w:id="366" w:name="_Toc340840448"/>
      <w:bookmarkStart w:id="367" w:name="_Toc339457319"/>
      <w:bookmarkStart w:id="368" w:name="_Toc339459065"/>
      <w:r>
        <w:rPr>
          <w:rFonts w:hint="eastAsia" w:cs="宋体" w:asciiTheme="minorEastAsia" w:hAnsiTheme="minorEastAsia" w:eastAsiaTheme="minorEastAsia"/>
          <w:color w:val="auto"/>
          <w:sz w:val="24"/>
          <w:szCs w:val="24"/>
        </w:rPr>
        <w:t>TS406  内部对讲系统</w:t>
      </w:r>
      <w:bookmarkEnd w:id="360"/>
      <w:bookmarkEnd w:id="361"/>
      <w:bookmarkEnd w:id="362"/>
      <w:bookmarkEnd w:id="363"/>
      <w:bookmarkEnd w:id="364"/>
      <w:bookmarkEnd w:id="365"/>
      <w:bookmarkEnd w:id="366"/>
      <w:bookmarkEnd w:id="367"/>
      <w:bookmarkEnd w:id="368"/>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rPr>
      </w:pPr>
      <w:bookmarkStart w:id="369" w:name="_Toc400804579"/>
      <w:bookmarkStart w:id="370" w:name="_Toc344132875"/>
      <w:bookmarkStart w:id="371" w:name="_Toc82857119"/>
      <w:bookmarkStart w:id="372" w:name="_Toc339457322"/>
      <w:bookmarkStart w:id="373" w:name="_Toc339459068"/>
      <w:bookmarkStart w:id="374" w:name="_Toc340841628"/>
      <w:bookmarkStart w:id="375" w:name="_Toc341344981"/>
      <w:bookmarkStart w:id="376" w:name="_Toc339451664"/>
      <w:bookmarkStart w:id="377" w:name="_Toc340840451"/>
      <w:r>
        <w:rPr>
          <w:rFonts w:hint="eastAsia" w:cs="宋体" w:asciiTheme="minorEastAsia" w:hAnsiTheme="minorEastAsia" w:eastAsiaTheme="minorEastAsia"/>
          <w:bCs/>
          <w:color w:val="auto"/>
          <w:sz w:val="24"/>
          <w:szCs w:val="24"/>
        </w:rPr>
        <w:t>茶岭路段中心设计有一套专业集</w:t>
      </w:r>
      <w:bookmarkStart w:id="378" w:name="OLE_LINK39"/>
      <w:r>
        <w:rPr>
          <w:rFonts w:hint="eastAsia" w:cs="宋体" w:asciiTheme="minorEastAsia" w:hAnsiTheme="minorEastAsia" w:eastAsiaTheme="minorEastAsia"/>
          <w:bCs/>
          <w:color w:val="auto"/>
          <w:sz w:val="24"/>
          <w:szCs w:val="24"/>
        </w:rPr>
        <w:t>有线对讲</w:t>
      </w:r>
      <w:bookmarkEnd w:id="378"/>
      <w:r>
        <w:rPr>
          <w:rFonts w:hint="eastAsia" w:cs="宋体" w:asciiTheme="minorEastAsia" w:hAnsiTheme="minorEastAsia" w:eastAsiaTheme="minorEastAsia"/>
          <w:bCs/>
          <w:color w:val="auto"/>
          <w:sz w:val="24"/>
          <w:szCs w:val="24"/>
        </w:rPr>
        <w:t>、广播喊话、背景音乐、调度管理、报警管理、视频联动等专业多媒体对讲广播调度管理系统，系统能与收费业务深度融合应用管理，提高路段的信息化管理水平，有效降低企业运营管理成本，提高日常工作效率与应急处理能力。</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可实现“对讲广播主机+多媒体控制台”思路，灵活实现语音对讲、广播通知、背景音乐、音频会议、无线对讲接入等功能，选配报警管理、视频联动功能，可实现多级架构管理，满足高速公路多级管理、中心管理的应用；</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核心功能：分区配置、终端配置、路由配置、号码分析、中继配置、寻线组配置、 通话记录查询、通话录音查询高档铝合金拉丝面板，防水防尘，支持断网、离线、在线等状态指示灯功能，高保真3W喇叭，支持POE供电，内置两组短路信号输入输出，外扩音源输出接口，本地录音输出接口。</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快捷呼叫设计，一键呼叫监控中心，一键呼叫监控室，一键呼叫收费班长，满足多级管理需求，满足亭内与班长、班长与监控中心的多方通话；</w:t>
      </w:r>
    </w:p>
    <w:p>
      <w:pPr>
        <w:autoSpaceDE w:val="0"/>
        <w:autoSpaceDN w:val="0"/>
        <w:adjustRightInd w:val="0"/>
        <w:spacing w:line="360" w:lineRule="auto"/>
        <w:ind w:firstLine="504" w:firstLineChars="210"/>
        <w:rPr>
          <w:rFonts w:hint="eastAsia"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支持全双工免提通话对讲，自动接听与挂断；对讲优先广播音乐功能，对讲完成自动音乐恢复功能，对讲与广播音乐音量独立控制调节，离线呼叫对讲功能，地址播报功能。</w:t>
      </w:r>
    </w:p>
    <w:p>
      <w:pPr>
        <w:autoSpaceDE w:val="0"/>
        <w:autoSpaceDN w:val="0"/>
        <w:adjustRightInd w:val="0"/>
        <w:spacing w:line="360" w:lineRule="auto"/>
        <w:ind w:firstLine="506" w:firstLineChars="210"/>
        <w:rPr>
          <w:rFonts w:cs="宋体" w:asciiTheme="minorEastAsia" w:hAnsiTheme="minorEastAsia" w:eastAsiaTheme="minorEastAsia"/>
          <w:b/>
          <w:bCs/>
          <w:color w:val="auto"/>
          <w:sz w:val="24"/>
          <w:szCs w:val="24"/>
          <w:lang w:val="zh-CN"/>
        </w:rPr>
      </w:pPr>
      <w:r>
        <w:rPr>
          <w:rFonts w:hint="eastAsia" w:cs="宋体" w:asciiTheme="minorEastAsia" w:hAnsiTheme="minorEastAsia" w:eastAsiaTheme="minorEastAsia"/>
          <w:b/>
          <w:bCs/>
          <w:color w:val="auto"/>
          <w:sz w:val="24"/>
          <w:szCs w:val="24"/>
        </w:rPr>
        <w:t>本项目对讲系统应能无缝接入茶岭路段中心对讲系统。</w:t>
      </w:r>
    </w:p>
    <w:p>
      <w:pPr>
        <w:adjustRightInd w:val="0"/>
        <w:snapToGrid w:val="0"/>
        <w:spacing w:line="360" w:lineRule="auto"/>
        <w:ind w:firstLine="482" w:firstLineChars="2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对讲广播视频话机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采用4核处理器，安卓操作系统，7英寸TFT电容多点触控屏；</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支持100个以上可编辑快捷呼叫键，来电中文显示；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支持SIP 2.0(RFC3261)以及相关的RFC，支持6个SIP号注册，支持SIP UDP/TCP/TLS，全双工免提通话，回声消除，支持丢包补偿，自适应抖动缓冲。</w:t>
      </w:r>
    </w:p>
    <w:p>
      <w:pPr>
        <w:adjustRightInd w:val="0"/>
        <w:snapToGrid w:val="0"/>
        <w:spacing w:line="360" w:lineRule="auto"/>
        <w:ind w:firstLine="482" w:firstLineChars="2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亭内对讲终端</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水防尘，支持断网、离线、在线等状态指示灯功能，支持POE供电，内置两组短路信号输入输出，外扩音源输出接口，本地录音输出接口，支持SIP2.0，TCP/IP，RTP/RTCP，HTTP，ICMP，ARP/RARP，DNS，DHCP，NTP/SNTP，TFTP协议；</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快捷呼叫设计，支持全双工免提通话对讲，自动接听与挂断。</w:t>
      </w:r>
    </w:p>
    <w:p>
      <w:pPr>
        <w:adjustRightInd w:val="0"/>
        <w:snapToGrid w:val="0"/>
        <w:spacing w:line="360" w:lineRule="auto"/>
        <w:ind w:firstLine="482" w:firstLineChars="2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自助设备对讲终端</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双麦克风，5米超远距离拾音，覆盖整个车道宽度；</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内置回音抑制及降噪模块，实现高品质双向语音通话； </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双目星光级摄像头，长、短焦自动切换；即可看清车道车辆通行情况，又可识别特情车辆证照；</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支持协议：SlP v1 (RFC2543), v2 (RFC3261) over UDP/TCP/TLS、DHCP、HTTP/HTTPS、FTP/TFTP、SNTP等；</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内置短路输入和短路输出接口；</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扩声采用专业室外10W喇叭，频率响应：70~12KHZ；灵敏度88Db.</w:t>
      </w:r>
    </w:p>
    <w:bookmarkEnd w:id="369"/>
    <w:bookmarkEnd w:id="370"/>
    <w:bookmarkEnd w:id="371"/>
    <w:bookmarkEnd w:id="372"/>
    <w:bookmarkEnd w:id="373"/>
    <w:bookmarkEnd w:id="374"/>
    <w:bookmarkEnd w:id="375"/>
    <w:bookmarkEnd w:id="376"/>
    <w:bookmarkEnd w:id="377"/>
    <w:p>
      <w:pPr>
        <w:pStyle w:val="3"/>
        <w:spacing w:after="48" w:line="360" w:lineRule="auto"/>
        <w:ind w:firstLine="504"/>
        <w:rPr>
          <w:rFonts w:cs="宋体" w:asciiTheme="minorEastAsia" w:hAnsiTheme="minorEastAsia" w:eastAsiaTheme="minorEastAsia"/>
          <w:bCs/>
          <w:color w:val="auto"/>
          <w:sz w:val="24"/>
          <w:szCs w:val="24"/>
        </w:rPr>
      </w:pPr>
      <w:r>
        <w:rPr>
          <w:rFonts w:hint="eastAsia" w:cs="宋体" w:asciiTheme="minorEastAsia" w:hAnsiTheme="minorEastAsia" w:eastAsiaTheme="minorEastAsia"/>
          <w:color w:val="auto"/>
          <w:sz w:val="24"/>
          <w:szCs w:val="24"/>
        </w:rPr>
        <w:t>TS4</w:t>
      </w:r>
      <w:r>
        <w:rPr>
          <w:rFonts w:cs="宋体" w:asciiTheme="minorEastAsia" w:hAnsiTheme="minorEastAsia" w:eastAsiaTheme="minorEastAsia"/>
          <w:color w:val="auto"/>
          <w:sz w:val="24"/>
          <w:szCs w:val="24"/>
        </w:rPr>
        <w:t>0</w:t>
      </w:r>
      <w:r>
        <w:rPr>
          <w:rFonts w:hint="eastAsia" w:cs="宋体" w:asciiTheme="minorEastAsia" w:hAnsiTheme="minorEastAsia" w:eastAsiaTheme="minorEastAsia"/>
          <w:color w:val="auto"/>
          <w:sz w:val="24"/>
          <w:szCs w:val="24"/>
        </w:rPr>
        <w:t xml:space="preserve">7 </w:t>
      </w:r>
      <w:r>
        <w:rPr>
          <w:rFonts w:hint="eastAsia" w:cs="宋体" w:asciiTheme="minorEastAsia" w:hAnsiTheme="minorEastAsia" w:eastAsiaTheme="minorEastAsia"/>
          <w:bCs/>
          <w:color w:val="auto"/>
          <w:sz w:val="24"/>
          <w:szCs w:val="24"/>
        </w:rPr>
        <w:t>ETC门架</w:t>
      </w:r>
      <w:r>
        <w:rPr>
          <w:rFonts w:hint="eastAsia" w:cs="宋体" w:asciiTheme="minorEastAsia" w:hAnsiTheme="minorEastAsia" w:eastAsiaTheme="minorEastAsia"/>
          <w:color w:val="auto"/>
          <w:sz w:val="24"/>
          <w:szCs w:val="24"/>
        </w:rPr>
        <w:t>系统</w:t>
      </w:r>
    </w:p>
    <w:p>
      <w:pPr>
        <w:pStyle w:val="3"/>
        <w:spacing w:after="48" w:line="360" w:lineRule="auto"/>
        <w:ind w:firstLine="504"/>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TS407.1  ETC门架布局方式</w:t>
      </w:r>
    </w:p>
    <w:p>
      <w:pPr>
        <w:spacing w:line="360" w:lineRule="auto"/>
        <w:ind w:firstLine="480" w:firstLineChars="200"/>
        <w:rPr>
          <w:rFonts w:asciiTheme="minorEastAsia" w:hAnsiTheme="minorEastAsia" w:eastAsiaTheme="minorEastAsia"/>
          <w:color w:val="auto"/>
          <w:sz w:val="24"/>
          <w:szCs w:val="24"/>
        </w:rPr>
      </w:pPr>
      <w:bookmarkStart w:id="379" w:name="_Hlk84928090"/>
      <w:r>
        <w:rPr>
          <w:rFonts w:hint="eastAsia" w:asciiTheme="minorEastAsia" w:hAnsiTheme="minorEastAsia" w:eastAsiaTheme="minorEastAsia"/>
          <w:color w:val="auto"/>
          <w:sz w:val="24"/>
          <w:szCs w:val="24"/>
        </w:rPr>
        <w:t>ETC门架系统采用自由流方式设置，由上、下行双方向门架组成，上、下行双方向门架背向错开设置，距离宜不小于100m。</w:t>
      </w:r>
    </w:p>
    <w:bookmarkEnd w:id="379"/>
    <w:p>
      <w:pPr>
        <w:spacing w:line="360" w:lineRule="auto"/>
        <w:ind w:firstLine="482" w:firstLineChars="200"/>
        <w:rPr>
          <w:rFonts w:asciiTheme="minorEastAsia" w:hAnsiTheme="minorEastAsia" w:eastAsiaTheme="minorEastAsia"/>
          <w:color w:val="auto"/>
          <w:sz w:val="24"/>
          <w:szCs w:val="24"/>
        </w:rPr>
      </w:pPr>
      <w:r>
        <w:rPr>
          <w:rFonts w:asciiTheme="minorEastAsia" w:hAnsiTheme="minorEastAsia" w:eastAsiaTheme="minorEastAsia"/>
          <w:b/>
          <w:color w:val="auto"/>
          <w:sz w:val="24"/>
          <w:szCs w:val="24"/>
        </w:rPr>
        <w:t>路段ETC门架系统</w:t>
      </w:r>
      <w:r>
        <w:rPr>
          <w:rFonts w:hint="eastAsia" w:asciiTheme="minorEastAsia" w:hAnsiTheme="minorEastAsia" w:eastAsiaTheme="minorEastAsia"/>
          <w:b/>
          <w:color w:val="auto"/>
          <w:sz w:val="24"/>
          <w:szCs w:val="24"/>
        </w:rPr>
        <w:t>：</w:t>
      </w:r>
      <w:r>
        <w:rPr>
          <w:rFonts w:asciiTheme="minorEastAsia" w:hAnsiTheme="minorEastAsia" w:eastAsiaTheme="minorEastAsia"/>
          <w:color w:val="auto"/>
          <w:sz w:val="24"/>
          <w:szCs w:val="24"/>
        </w:rPr>
        <w:t>设置在非省界的路段ETC门架系统，上、下行方向各设置一个门架</w:t>
      </w:r>
      <w:r>
        <w:rPr>
          <w:rFonts w:hint="eastAsia" w:asciiTheme="minorEastAsia" w:hAnsiTheme="minorEastAsia" w:eastAsiaTheme="minorEastAsia"/>
          <w:color w:val="auto"/>
          <w:sz w:val="24"/>
          <w:szCs w:val="24"/>
        </w:rPr>
        <w:t>。</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相邻收费站间ETC门架尽量靠近匝道收费站侧的位置，枢纽互通ETC门架的设置尽量靠近匝道收费站侧的位置。</w:t>
      </w:r>
    </w:p>
    <w:p>
      <w:pPr>
        <w:spacing w:line="360" w:lineRule="auto"/>
        <w:ind w:firstLine="482" w:firstLineChars="2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本项目在相邻互通之间设置ETC门架系统（共计6套），全线ETC门架综合考虑利用大型可变情报板门架作为ETC设备承载体，无条件共设时设置单独ETC门架。</w:t>
      </w:r>
    </w:p>
    <w:p>
      <w:pPr>
        <w:spacing w:line="360" w:lineRule="auto"/>
        <w:ind w:firstLine="482" w:firstLineChars="2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本项目起点与石镜枢纽互通相接，在三桥互通与石镜枢纽互通之间设置一组ETC门架系统；在三桥互通与潜山南枢纽互通之间设置一组ETC门架系统。</w:t>
      </w:r>
    </w:p>
    <w:p>
      <w:pPr>
        <w:spacing w:line="360" w:lineRule="auto"/>
        <w:ind w:firstLine="482" w:firstLineChars="2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本项目终点与G50沪渝高速相交新建潜山南枢纽互通，潜山南枢纽互通西侧为潜山收费站，与潜山南枢纽互通距离较近，路段不具备设置ETC门架的条件，由潜山收费站通过收费软件或车道完成收费；潜山南枢纽互通与车轴寺互通之间现状已建设ETC门架系统，本项目在潜山南枢纽互通与潜山枢纽互通之间增设一组ETC门架系统。</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color w:val="auto"/>
          <w:sz w:val="24"/>
          <w:szCs w:val="24"/>
        </w:rPr>
        <w:t>本项目在枢纽之间ETC门架处增设收费稽查系统，提供车型识别结果、车辆车身侧面高清全景大图和车型结构化信息，配合车牌识别系统使用，提供车辆收费依据，有效遏制车辆逃费问题。</w:t>
      </w:r>
    </w:p>
    <w:p>
      <w:pPr>
        <w:pStyle w:val="3"/>
        <w:spacing w:after="48" w:line="360" w:lineRule="auto"/>
        <w:ind w:firstLine="504"/>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TS407.2  ETC门架系统构成</w:t>
      </w:r>
    </w:p>
    <w:p>
      <w:pPr>
        <w:adjustRightInd w:val="0"/>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ETC 门架系统由以下主要设备和设施组成：车道控制器、RSU（支持PSAM及PCI密码卡）、车牌图像识别设备（与高清摄像机构成一体化设备）、网络安全设备、补光灯、供电设备等，通过工业交换机、收费站三层交换机形成以太网环网保护，与站级服务器、业务管理工作站相连。</w:t>
      </w:r>
    </w:p>
    <w:p>
      <w:pPr>
        <w:adjustRightInd w:val="0"/>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（1）单排ETC门架系统（</w:t>
      </w:r>
      <w:r>
        <w:rPr>
          <w:rFonts w:asciiTheme="minorEastAsia" w:hAnsiTheme="minorEastAsia" w:eastAsiaTheme="minorEastAsia"/>
          <w:b/>
          <w:bCs/>
          <w:color w:val="auto"/>
          <w:sz w:val="24"/>
        </w:rPr>
        <w:t>路段</w:t>
      </w:r>
      <w:r>
        <w:rPr>
          <w:rFonts w:hint="eastAsia" w:asciiTheme="minorEastAsia" w:hAnsiTheme="minorEastAsia" w:eastAsiaTheme="minorEastAsia"/>
          <w:b/>
          <w:bCs/>
          <w:color w:val="auto"/>
          <w:sz w:val="24"/>
        </w:rPr>
        <w:t>处）主要设备冗余设计</w:t>
      </w:r>
    </w:p>
    <w:p>
      <w:pPr>
        <w:adjustRightInd w:val="0"/>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单排门架主要定位于单处门架上关键设备的冗余备份功能，每条车道上方设置2套RSU天线数量，互为备份；2套900万车牌识别摄像机抓拍2条车道，每条车道上方设置2套补光灯，互为备份。每处门架设置2台车道控制器，互为备份。</w:t>
      </w:r>
    </w:p>
    <w:p>
      <w:pPr>
        <w:adjustRightInd w:val="0"/>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枢纽之间门架处设置收费稽查系统，每车道上方设置1套300万车道车型识别摄像机及1套车侧补光灯。</w:t>
      </w:r>
    </w:p>
    <w:p>
      <w:pPr>
        <w:adjustRightInd w:val="0"/>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（2）冗余机制</w:t>
      </w:r>
    </w:p>
    <w:p>
      <w:pPr>
        <w:adjustRightInd w:val="0"/>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1）主设备正常工作时，备用设备处于热备待机状态。</w:t>
      </w:r>
    </w:p>
    <w:p>
      <w:pPr>
        <w:adjustRightInd w:val="0"/>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2</w:t>
      </w:r>
      <w:r>
        <w:rPr>
          <w:rFonts w:hint="eastAsia" w:asciiTheme="minorEastAsia" w:hAnsiTheme="minorEastAsia" w:eastAsiaTheme="minorEastAsia"/>
          <w:color w:val="auto"/>
          <w:sz w:val="24"/>
        </w:rPr>
        <w:t>）主设备发生异常时（断电、断网、设备故障等），自动启用备用设备，主备切换时间小于</w:t>
      </w:r>
      <w:r>
        <w:rPr>
          <w:rFonts w:asciiTheme="minorEastAsia" w:hAnsiTheme="minorEastAsia" w:eastAsiaTheme="minorEastAsia"/>
          <w:color w:val="auto"/>
          <w:sz w:val="24"/>
        </w:rPr>
        <w:t xml:space="preserve">10 </w:t>
      </w:r>
      <w:r>
        <w:rPr>
          <w:rFonts w:hint="eastAsia" w:asciiTheme="minorEastAsia" w:hAnsiTheme="minorEastAsia" w:eastAsiaTheme="minorEastAsia"/>
          <w:color w:val="auto"/>
          <w:sz w:val="24"/>
        </w:rPr>
        <w:t>秒</w:t>
      </w:r>
      <w:r>
        <w:rPr>
          <w:rFonts w:asciiTheme="minorEastAsia" w:hAnsiTheme="minorEastAsia" w:eastAsiaTheme="minorEastAsia"/>
          <w:color w:val="auto"/>
          <w:sz w:val="24"/>
        </w:rPr>
        <w:t>(</w:t>
      </w:r>
      <w:r>
        <w:rPr>
          <w:rFonts w:hint="eastAsia" w:asciiTheme="minorEastAsia" w:hAnsiTheme="minorEastAsia" w:eastAsiaTheme="minorEastAsia"/>
          <w:color w:val="auto"/>
          <w:sz w:val="24"/>
        </w:rPr>
        <w:t>可配置</w:t>
      </w:r>
      <w:r>
        <w:rPr>
          <w:rFonts w:asciiTheme="minorEastAsia" w:hAnsiTheme="minorEastAsia" w:eastAsiaTheme="minorEastAsia"/>
          <w:color w:val="auto"/>
          <w:sz w:val="24"/>
        </w:rPr>
        <w:t>)</w:t>
      </w:r>
      <w:r>
        <w:rPr>
          <w:rFonts w:hint="eastAsia" w:asciiTheme="minorEastAsia" w:hAnsiTheme="minorEastAsia" w:eastAsiaTheme="minorEastAsia"/>
          <w:color w:val="auto"/>
          <w:sz w:val="24"/>
        </w:rPr>
        <w:t>，发生故障的主设备自动待机。</w:t>
      </w:r>
    </w:p>
    <w:p>
      <w:pPr>
        <w:adjustRightInd w:val="0"/>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3</w:t>
      </w:r>
      <w:r>
        <w:rPr>
          <w:rFonts w:hint="eastAsia" w:asciiTheme="minorEastAsia" w:hAnsiTheme="minorEastAsia" w:eastAsiaTheme="minorEastAsia"/>
          <w:color w:val="auto"/>
          <w:sz w:val="24"/>
        </w:rPr>
        <w:t>）主设备和备用设备之间的切换由设备终端自动完成，无需人工和后台软件干预。</w:t>
      </w:r>
    </w:p>
    <w:p>
      <w:pPr>
        <w:pStyle w:val="3"/>
        <w:spacing w:after="48" w:line="360" w:lineRule="auto"/>
        <w:ind w:firstLine="504"/>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TS407.3  ETC门架系统功能要求</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ETC门架系统主要功能包括:</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（1）同时支持双片式OBU、单片式OBU和CPC卡交易处理流程。相关加解密运算采用SM4国产对称密码算法，并支持JR/T 0025所规定的DES. 3DES算法。</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2）自动识别所有通行车辆(包括ETC车辆和MTC车辆)车牌颜色和车牌号码，经系统自动识别后，可由人工核对修正，将所有识别出的车牌颜色、车牌号码和时间、门架信息及车辆图像信息(二进制图片)等形成图像流水记录，图片及图像流水记录保存在站级服务器。</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3）实现ETC车辆分段计费，形成ETC交易流水(或通行凭证)，若计费失败，应形成ETC通行记录。系统将ETC交易流水(或通行凭证)、ETC通行记录、图像流水记录进行自动匹配后，可由人工核对修正，筛选出计费失败ETC车辆的图像流水记录，及时上传至省联网中心系统和部联网中心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4）实现MTC车辆分段计费。从CPC卡获取相关信息，将更新后的信息写入CPC卡，并形成CPC卡通行记录。系统将CPC卡通行记录、图像流水记录进行自动匹配后，可由人工核对修正，筛选出计费失败MTC车辆的图像流水记录，及时上传至省联网中心系统和部联网中心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5）ETC门架系统应具备去重机制，确保同一车辆仅形成一条流水或记录。同一车辆既有OBU又有CPC卡，只生成CPC卡通行记录，并上传至省联网中心系统和部联网中心系统。在同一ETC门架系统中同一车辆连续生成ETC交易流水(或通行凭证)、ETC通行记录、CPC卡通行记录或图像流水记录，应去除重复流水和记录，并上传至省联网中心系统和部联网中心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6）具备自检、程序和应用在线更新功能，并将ETC门架系统及设备状态信息实时发送至省联网中心系统和部联网中心系统，主要包括但不限于:车道控制器CPU、内存、硬盘的占用率，关键设备(RSU、车牌图像识别设备)在线状态及工作状态(如RSU发射、接收工作状态)，机柜温度、湿度、防盗，供电和通信网络工作状态等。</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（7）接收并更新省联网中心系统下发的ETC门架相关系统参数。</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（8）与北斗授时时钟同步。</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（9）RSU和车牌图像识别等关键设备应进行冗余设计，确保24小时不间断工作。</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（10）应用数据、图像及视频存储应具有容错及备份机制。能存储不少于6个月的图像信息和1个月的视频信息。</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11）应具备以独立作业的方式工作，在通信网络出现异常时可脱机离线操作，此时所有作业数据均可存储在本地，并且待网络恢复后自动将本地滞留数据上传至省联网中心系统和部联网中心系统，同时保证数据的完整性、一致性、真实性、不可抵赖性和安全性不受破坏。</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12）ETC门架应具备动态拟合补点功能，即当前门架系统通过读取OBU和用户卡内的入口信息、上一个门架信息并结合当前门架信息和门架拓扑结构，判断车辆在前序门架是否有遗漏扣费情况，从而将前序门架遗漏的通行费与本门架通行费累计，在当前门架进行合并计费交易。</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（13）有必要的防雷和接地保护，具备防雷击和防浪涌冲击的能力，确保人和设备的安全。</w:t>
      </w:r>
    </w:p>
    <w:p>
      <w:pPr>
        <w:pStyle w:val="3"/>
        <w:spacing w:after="48" w:line="360" w:lineRule="auto"/>
        <w:ind w:firstLine="504"/>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TS407.4  ETC门架系统总体性能要求</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（1）实时上传流水及记录数据。</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2）单片式OBU交易成功率:在车速为0～120km/h的条件下，≥99.9%(分子为获取到交易凭证的安装单片式OBU的ETC车辆数量，分母为实际通行的安装单片式OBU的ETC车辆总数，除以下因素:OBU拆卸、OBU超出有效期、领取CPC卡的ETC车辆)，车辆信息获取成功率≥99.99%(分子为获取到车辆信息的安装单片式OBU的ETC车辆数量，分母为实际通行的安装单片式OBU的ETC车辆总数)。</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3）双片式OBU交易成功率:在车速为0～120km/h的条件下，≥98.0%(分子为扣费成功的安装双片式OBU的ETC车辆数量，分母为实际通行的安装双片式OBU的ETC车辆总数，除以下因素:未插卡、非有效卡、OBU拆卸、OBU超出有效期)，车辆信息获取成功率≥99.5%(分子为获取到车辆信息的安装双片式OBU的ETC车辆数量，分母为实际通行的安装双片式OBU的ETC车辆总数)。</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（4）CPC卡计费成功率:在车速为0～160km/h的条件下，≥ 99.9%e(分子为准确计费的携带CPC卡车辆数量，分母为实际通行的携带CPC卡车辆总数)</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（5）车牌图像识别准确率:在车速为0～220km/h的条件下，≥95%(分子为正确识别车牌的数量，分母为实际通行车辆总数，车牌缺失、污损、遮挡等人眼不能准确识别除外)</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（6）RSU应支持并发通信。</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（7）当RSU识别到双片式OBU未插卡、拆卸等情况时，应继续执行操作读取车辆信息(车型、车牌信息)。</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（8）RSU应支持PSAM卡，以缩短交易处理时间，提高交易成功率。</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（9）ETC门架通信区域宽度应调整在本方向行车道及应急车道宽度范围内。</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（10）MTBF:≥ 10000小时。</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（11）系统运行环境:全天候，24小时。</w:t>
      </w:r>
    </w:p>
    <w:p>
      <w:pPr>
        <w:pStyle w:val="3"/>
        <w:spacing w:after="48" w:line="360" w:lineRule="auto"/>
        <w:ind w:firstLine="504"/>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color w:val="auto"/>
          <w:sz w:val="24"/>
          <w:szCs w:val="24"/>
        </w:rPr>
        <w:t>TS407.5</w:t>
      </w:r>
      <w:r>
        <w:rPr>
          <w:rFonts w:cs="宋体" w:asciiTheme="minorEastAsia" w:hAnsiTheme="minorEastAsia" w:eastAsiaTheme="minorEastAsia"/>
          <w:bCs/>
          <w:color w:val="auto"/>
          <w:sz w:val="24"/>
          <w:szCs w:val="24"/>
          <w:lang w:val="zh-CN"/>
        </w:rPr>
        <w:t xml:space="preserve"> </w:t>
      </w:r>
      <w:r>
        <w:rPr>
          <w:rFonts w:hint="eastAsia" w:cs="宋体" w:asciiTheme="minorEastAsia" w:hAnsiTheme="minorEastAsia" w:eastAsiaTheme="minorEastAsia"/>
          <w:color w:val="auto"/>
          <w:sz w:val="24"/>
          <w:szCs w:val="24"/>
        </w:rPr>
        <w:t>主要设备技术指标</w:t>
      </w:r>
    </w:p>
    <w:p>
      <w:pPr>
        <w:pStyle w:val="7"/>
        <w:ind w:firstLine="504"/>
        <w:rPr>
          <w:color w:val="auto"/>
        </w:rPr>
      </w:pPr>
      <w:r>
        <w:rPr>
          <w:rFonts w:hint="eastAsia"/>
          <w:color w:val="auto"/>
        </w:rPr>
        <w:t>TS407.5.1 RSU</w:t>
      </w:r>
      <w:r>
        <w:rPr>
          <w:color w:val="auto"/>
        </w:rPr>
        <w:t xml:space="preserve"> </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路侧单元（RSU）需符合《电子收费专用短程通信》（GB/T20851.1-2019～GB/T20851.5-2019）等相关国家标准，除此之外，还必须满足以下技术要求：</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路侧单元应支持以太网、RS232/422通信方式；</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路侧单元支持远程控制功能，具备远程在线程序升级功能；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并发处理：支持车载电子标签（OBU）与复合通行卡（CPC卡）并行处理；</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支持车辆交易速度：0-220km/h；支持车道数：不小于8条；</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发射功率闭环控制：可根据温度值动态补偿功率输出，做到全温度范围内功率输出稳定性达到±1.5dB；</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设备自检：具备对发射功率、工作信道、接收状态、PSAM卡/PCI秘钥卡状态等主要器件和功能的自检功能；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参数设置：可软件调整与配置天线工作方式及发射功率等系统参数；</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状态显示：高清晰OLED 显示屏，动态实时显示系统各部件工作状态，便于工作人员现场维护；</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支持PASM、PCI密码卡；</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PSAM卡插槽数量：≥8；</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颜色宜与ETC门架协调一致，外形美观；</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路侧设备应提供必要的防雷击措施和浪涌电流吸收装置；RSU天线和控制器均采用三级防雷防静电技术，可耐4kV雷击浪涌、8kV静电干扰，保证设备抗电磁干扰能力；</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邻道泄漏功率比：&lt;-30dB；</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天线半功率波瓣宽度：水平≤25°；垂直≤55°；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接收灵敏度：≤-95dBm；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使用寿命：免维护寿命应不低于70,000小时；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平均无故障时间：≥70,000h；</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防护等级：IP65；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具备两个独立IP地址的网口；</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功耗：≤60W；</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具备交流或直流供电方式：交流 AC220V±20%；直流 DC24V±10%；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 -40℃～+80℃；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具备远程工作参数调整、状态监控、免拆卸程序在线更新的功能。</w:t>
      </w:r>
    </w:p>
    <w:p>
      <w:pPr>
        <w:pStyle w:val="7"/>
        <w:ind w:firstLine="504"/>
        <w:rPr>
          <w:color w:val="auto"/>
        </w:rPr>
      </w:pPr>
      <w:r>
        <w:rPr>
          <w:rFonts w:hint="eastAsia"/>
          <w:color w:val="auto"/>
        </w:rPr>
        <w:t>TS408.5.2 RSU控制器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管理标识RSU数量：≥8台；</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脱机标识记录存储容量：≥25万条，支持U盘扩展；</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设备维护：</w:t>
      </w:r>
      <w:r>
        <w:rPr>
          <w:rFonts w:asciiTheme="minorEastAsia" w:hAnsiTheme="minorEastAsia" w:eastAsiaTheme="minorEastAsia"/>
          <w:color w:val="auto"/>
          <w:sz w:val="24"/>
          <w:szCs w:val="24"/>
        </w:rPr>
        <w:t>可通过</w:t>
      </w:r>
      <w:r>
        <w:rPr>
          <w:rFonts w:hint="eastAsia" w:asciiTheme="minorEastAsia" w:hAnsiTheme="minorEastAsia" w:eastAsiaTheme="minorEastAsia"/>
          <w:color w:val="auto"/>
          <w:sz w:val="24"/>
          <w:szCs w:val="24"/>
        </w:rPr>
        <w:t>3G/4G无线网络远程监控设备运行状态，下发参数，获取设备日志；</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应用升级：可通过有线、</w:t>
      </w:r>
      <w:r>
        <w:rPr>
          <w:rFonts w:asciiTheme="minorEastAsia" w:hAnsiTheme="minorEastAsia" w:eastAsiaTheme="minorEastAsia"/>
          <w:color w:val="auto"/>
          <w:sz w:val="24"/>
          <w:szCs w:val="24"/>
        </w:rPr>
        <w:t>无线网络远程升级设备应用软件</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w:t>
      </w:r>
      <w:r>
        <w:rPr>
          <w:rFonts w:asciiTheme="minorEastAsia" w:hAnsiTheme="minorEastAsia" w:eastAsiaTheme="minorEastAsia"/>
          <w:color w:val="auto"/>
          <w:sz w:val="24"/>
          <w:szCs w:val="24"/>
        </w:rPr>
        <w:t>二次开发</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外部接口：RJ45，10M/100M自适应</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扩展接口：</w:t>
      </w:r>
      <w:r>
        <w:rPr>
          <w:rFonts w:asciiTheme="minorEastAsia" w:hAnsiTheme="minorEastAsia" w:eastAsiaTheme="minorEastAsia"/>
          <w:color w:val="auto"/>
          <w:sz w:val="24"/>
          <w:szCs w:val="24"/>
        </w:rPr>
        <w:t>无线网络</w:t>
      </w:r>
      <w:r>
        <w:rPr>
          <w:rFonts w:hint="eastAsia" w:asciiTheme="minorEastAsia" w:hAnsiTheme="minorEastAsia" w:eastAsiaTheme="minorEastAsia"/>
          <w:color w:val="auto"/>
          <w:sz w:val="24"/>
          <w:szCs w:val="24"/>
        </w:rPr>
        <w:t>/3G/4</w:t>
      </w:r>
      <w:r>
        <w:rPr>
          <w:rFonts w:asciiTheme="minorEastAsia" w:hAnsiTheme="minorEastAsia" w:eastAsiaTheme="minorEastAsia"/>
          <w:color w:val="auto"/>
          <w:sz w:val="24"/>
          <w:szCs w:val="24"/>
        </w:rPr>
        <w:t>G</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密码卡接口：10个标准ISO7816 PSAM卡接口，1个标准PCI/PCI-e密码卡接口；</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电源：AC220，DC24V；</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工作温度：-25℃～+75℃；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存储温度：-40℃～+85℃；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相对工作湿度：5%～95%。</w:t>
      </w:r>
    </w:p>
    <w:p>
      <w:pPr>
        <w:pStyle w:val="7"/>
        <w:ind w:firstLine="504"/>
        <w:rPr>
          <w:color w:val="auto"/>
        </w:rPr>
      </w:pPr>
      <w:r>
        <w:rPr>
          <w:rFonts w:hint="eastAsia"/>
          <w:color w:val="auto"/>
        </w:rPr>
        <w:t>TS408.5.3车牌图像识别设备</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具备车牌图像识别功能；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输出图片类型:全景图、车牌图、二值图；</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触发方式:视频触发、RS-485触发、外部I/O触发、网络触发；</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支持对工作状态检测的应答；</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支持补光灯同步补光；</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支持补光灯状态检测；</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支持断网时本地存储；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内嵌实时时钟，具备远程校时功能；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含有电源、网络等接口防雷模块；</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宜支持车辆特征检测，如车身颜色、车辆品牌标志等。</w:t>
      </w:r>
    </w:p>
    <w:p>
      <w:pPr>
        <w:spacing w:line="360" w:lineRule="auto"/>
        <w:ind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车牌图像识别设备应满足以下性能要求：</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图像颜色：彩色；</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像素：≥900万；</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抓拍图像及车牌识别时间：≤0.1s；</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车辆捕获率：在车速为0～220km/h的条件下，≥99.5%（分子为抓拍图像车辆数量，分母为实际通行车辆总数）；</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车牌图像识别准确率：在车速为0～220km/h的条件下，≥95%（为正确识别车牌的数量，分母为实际通行车辆总数，车牌缺失、污损、遮挡等人眼不能准确识别除外）；</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若支持车身颜色识别功能，则车身颜色日间识别准确率：≥70%；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若支持车辆品牌标志识别功能，则车辆品牌标志日间识别准确率：≥75%；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传输接口：RJ45，100M/1000M自适应，以太网；</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平均无故障时间：MTBF≥30000h；</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防护等级：IP65；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功耗：≤30W(含温控模块)；</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工作环境温度：-40℃～+55℃；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工作环境相对湿度：&lt;95%。</w:t>
      </w:r>
    </w:p>
    <w:p>
      <w:pPr>
        <w:spacing w:line="360" w:lineRule="auto"/>
        <w:ind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同时应具备以下高清视频监控功能：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断面车流视频监控；</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在视频图像中可有效辨识车牌；</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具备字符叠加功能，包括时间、摄像机编号、ETC门架编号等；</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支持对工作状态检测的应答。</w:t>
      </w:r>
    </w:p>
    <w:p>
      <w:pPr>
        <w:pStyle w:val="7"/>
        <w:ind w:firstLine="504"/>
        <w:rPr>
          <w:color w:val="auto"/>
        </w:rPr>
      </w:pPr>
      <w:r>
        <w:rPr>
          <w:rFonts w:hint="eastAsia"/>
          <w:color w:val="auto"/>
        </w:rPr>
        <w:t>TS407.5.4补光灯</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采用LED频闪式补光灯，补光灯光辐射安全性通应符合《视频监控系统主动照明部件光辐射安全要求》（GB/T 37958-2019)规定的0类或1类危险要求。</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布设要求：</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1、补光灯设置时，在路面上形成的补光区域应覆盖车牌图像识别区域，光照度均匀，无明显暗区，且不应对周边环境产生影响。</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具体设置要求如下：</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1）补光灯与地面的垂直距离应大于等于6m；</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2）补光灯宜安装在补光车道的侧上方，保证错车道补光；</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3）补光灯设置时不应过量安装，根据车牌图像识别设备冗余情况，每条车道同一方向配置的补光灯数量不宜超过两个，并且不得同时补光。</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2 、LED频闪式补光区域宜为距离ETC门架10m - 40m。</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3、距离补光灯50m外的光照度应不大于0.7lx。</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光学性能：</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1）用低色温LED光源，支持频闪、爆闪功能，满足多种场合应用要求；</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2）光源数量：24颗；</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3）发光角度10°；</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4）色温：2800～</w:t>
      </w:r>
      <w:r>
        <w:rPr>
          <w:rFonts w:asciiTheme="minorEastAsia" w:hAnsiTheme="minorEastAsia" w:eastAsiaTheme="minorEastAsia"/>
          <w:color w:val="auto"/>
        </w:rPr>
        <w:t xml:space="preserve"> </w:t>
      </w:r>
      <w:r>
        <w:rPr>
          <w:rFonts w:hint="eastAsia" w:cs="宋体" w:asciiTheme="minorEastAsia" w:hAnsiTheme="minorEastAsia" w:eastAsiaTheme="minorEastAsia"/>
          <w:color w:val="auto"/>
          <w:kern w:val="0"/>
          <w:sz w:val="24"/>
        </w:rPr>
        <w:t>5500K；</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其它要求：</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1）具有频率及占空比保护功能；</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2）具备过温保护和误触发保护功能；</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3）触发方式：电平量；</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4）控制接口：1路爆闪信号输入、1路频闪信号输入；</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5）供电电压及适应范围：AC220V±20%；</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6）功耗：≤30W；</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7）防护等级：IP65；</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8）工作环境温度：-40℃～+70℃；</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9）工作环境湿度：＜90%（无凝结）；</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10）支持车牌识别摄像机信号控制。</w:t>
      </w:r>
    </w:p>
    <w:p>
      <w:pPr>
        <w:autoSpaceDE w:val="0"/>
        <w:autoSpaceDN w:val="0"/>
        <w:adjustRightInd w:val="0"/>
        <w:spacing w:line="360" w:lineRule="auto"/>
        <w:ind w:firstLine="506" w:firstLineChars="210"/>
        <w:rPr>
          <w:rFonts w:cs="宋体" w:asciiTheme="minorEastAsia" w:hAnsiTheme="minorEastAsia" w:eastAsiaTheme="minorEastAsia"/>
          <w:b/>
          <w:bCs/>
          <w:color w:val="auto"/>
          <w:sz w:val="24"/>
          <w:szCs w:val="24"/>
          <w:lang w:val="zh-CN"/>
        </w:rPr>
      </w:pPr>
      <w:r>
        <w:rPr>
          <w:rFonts w:hint="eastAsia" w:cs="宋体" w:asciiTheme="minorEastAsia" w:hAnsiTheme="minorEastAsia" w:eastAsiaTheme="minorEastAsia"/>
          <w:b/>
          <w:bCs/>
          <w:color w:val="auto"/>
          <w:sz w:val="24"/>
          <w:szCs w:val="24"/>
          <w:lang w:val="zh-CN"/>
        </w:rPr>
        <w:t>ETC门架系统检查验收时，应对补光灯进行炫光评价。</w:t>
      </w:r>
    </w:p>
    <w:p>
      <w:pPr>
        <w:pStyle w:val="7"/>
        <w:ind w:firstLine="504"/>
        <w:rPr>
          <w:color w:val="auto"/>
        </w:rPr>
      </w:pPr>
      <w:r>
        <w:rPr>
          <w:rFonts w:hint="eastAsia"/>
          <w:color w:val="auto"/>
        </w:rPr>
        <w:t>TS407.5.5门架数据分析终端</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CPU：i9-12900K 3.1GHz 16核心24线；</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内存：DDR4 16G*2；</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存储：256G SSD*1；8T SATA*2 7200转；</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显卡：GTX 1050TI 4G；</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网口：100/1000M自适应电口；</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显示器：≥24寸液晶，分辨率不低于2560*1440，IPS屏,刷新率≥75Hz；</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设备性能：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门架接入数量：4+1车道门架 * 2；</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设备接入数量：门架车型识别设备 * 10；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设计接入：6万车次/天；</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峰值接入：10万车次/天；</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存储周期：按3万车次/天 (车头图、车侧图、车尾图) 180天。</w:t>
      </w:r>
    </w:p>
    <w:p>
      <w:pPr>
        <w:pStyle w:val="7"/>
        <w:ind w:firstLine="504"/>
        <w:rPr>
          <w:color w:val="auto"/>
        </w:rPr>
      </w:pPr>
      <w:r>
        <w:rPr>
          <w:rFonts w:hint="eastAsia"/>
          <w:color w:val="auto"/>
        </w:rPr>
        <w:t>TS407.5.6车道车型识别摄像机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能识别符合《JT/T 489-2019收费公路车辆通行费车型分类》的车型、轴数等信息；</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能识别符合《GB 6944-2012 危险货物分类和品名编号》分类的危险车辆；</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输出车侧图片：最大支持8192×1920分辨率，车辆车型、轴数等特征清晰易辨识；</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传感器类型：≥ 300万像素；</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帧率：支持120帧/秒；</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单相机支持覆盖车道数量：1个车道；</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最大图像尺寸：根据实际车辆扫描图像而定；</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快门：自动/手动，7µs～8ms；</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最低照度：彩色0.004 lux；</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视频压缩标准： H.264 High Profile；</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码流数量：3路，主码流（H.264）、副码流（H.264）、MJPEG流；</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码流：主/副码流：1080P（默认）、720P；</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适用车速范围：0～220km/h；</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车辆捕获率：≥99%；</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多检率：≤0.5%；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车辆分离准确率：≥ 99%；</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车型识别准确率：≥ 98%（可正确识别车型：1-4类客车，1-6类货车，1-6类专项作业车）；</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轴数识别准确率：≥98%；</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轮数识别准确率：≥98%；</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危险品车辆识别准确率：≥98%；</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冷链车辆识别准确率：≥98%；</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输出信息：1张车辆侧面全景大图（最大图像尺寸8192×1920）、附加信息文本等；</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网口：2个 100/1000M自适应RJ45（LAN1/LAN2）；</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外部存储接口：1个 支持Micro SD卡接收结果数据；</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网络协议：支持多种网络协议，包括TCP/IP、UDP、HTTP、NTP、RTSP协议等；</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供电：AC100～240V，50Hz～60Hz；</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功耗：≤20W；</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平均无故障时间：MTBF≥30000小时；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平均修复时间：MTTR≤90秒；</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环境：温度 -40℃～+55℃，湿度 20%～95%（无凝结）；</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含相机支架等必要安装材料。</w:t>
      </w:r>
    </w:p>
    <w:p>
      <w:pPr>
        <w:pStyle w:val="7"/>
        <w:ind w:firstLine="504"/>
        <w:rPr>
          <w:color w:val="auto"/>
        </w:rPr>
      </w:pPr>
      <w:r>
        <w:rPr>
          <w:rFonts w:hint="eastAsia"/>
          <w:color w:val="auto"/>
        </w:rPr>
        <w:t>TS407.5.7车侧补光灯</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参数同补光灯</w:t>
      </w:r>
    </w:p>
    <w:p>
      <w:pPr>
        <w:pStyle w:val="7"/>
        <w:ind w:firstLine="504"/>
        <w:rPr>
          <w:color w:val="auto"/>
        </w:rPr>
      </w:pPr>
      <w:r>
        <w:rPr>
          <w:rFonts w:hint="eastAsia"/>
          <w:color w:val="auto"/>
        </w:rPr>
        <w:t>TS407.5.8</w:t>
      </w:r>
      <w:r>
        <w:rPr>
          <w:rFonts w:hint="eastAsia"/>
          <w:color w:val="auto"/>
          <w:lang w:val="zh-CN"/>
        </w:rPr>
        <w:t>工业以太网交换机（接入）</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≥24个千兆电口+4个千兆SFP插槽，包含4个光模块，传输距离大于10km；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能够与站级交换机组成2芯环网保护，可网管；</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应支持三层交换功能，能将环网端口与业务端口区分，将环网端口划为独立的广播域，彻底杜绝环网上的网络风暴；</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任意的两个端口可用于组成自愈环网并同时支持多个独立的自愈环。冗余网络切换时间不大于50ms；</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背板带宽不小于50Gbps；</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支持STP（IEEE 802.1d），RSTP（IEEE 802.1w）和MSTP（IEEE 802.1s）协议；</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支持多种管理方式：WEB、Console、SNMP、Telnet；</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工作环境温度：-35℃～+55℃。</w:t>
      </w:r>
    </w:p>
    <w:p>
      <w:pPr>
        <w:pStyle w:val="7"/>
        <w:ind w:firstLine="504"/>
        <w:rPr>
          <w:color w:val="auto"/>
        </w:rPr>
      </w:pPr>
      <w:r>
        <w:rPr>
          <w:rFonts w:hint="eastAsia"/>
          <w:color w:val="auto"/>
        </w:rPr>
        <w:t>TS407.5.9工业以太网交换机（汇聚）</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应采用机架型千兆工业以太网交换机, 支持冗余电源。端口数量：至少4个10/100/1000M 单模光纤接口和8个10/100/1000M  RJ45电口；</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实时性：工业以太网交换机应具有高度的实时性，最大收发延迟不超过10μs；</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网络拓扑结构：支持总线、星形拓朴、环形结构。</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冗余24V电源；</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安全要求：支持基于MAC和基于IP端口安全、SNMP V3、认证(802.1x)、ACL (访问控制表)；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其他功能：支持QoS 4级优先级、VLAN、广播限制、Fast aging；</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过滤功能：支持组播GMRP 802.1D、VLAN GVRP 802.1Q；</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光口传输距离：根据实际需求配置。</w:t>
      </w:r>
    </w:p>
    <w:p>
      <w:pPr>
        <w:pStyle w:val="7"/>
        <w:ind w:firstLine="504"/>
        <w:rPr>
          <w:color w:val="auto"/>
        </w:rPr>
      </w:pPr>
      <w:r>
        <w:rPr>
          <w:rFonts w:hint="eastAsia"/>
          <w:color w:val="auto"/>
        </w:rPr>
        <w:t>TS407.5.10户外综合机柜</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（1）智能柜体</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坚固平整，耐酸碱耐腐蚀，双层柜体采用优质钢材，热镀锌处理，表面喷塑，钢板厚度≥1mm；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柜体夹层填充阻燃隔热保温层，保温层材质隔热效果良好，厚度为20mm；</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前后均设置柜门，前后柜门安装防盗锁并设立独立门禁系统，具备远程门禁控制功能，支持权限管理、用户管理，支持站点开锁日志记录，支持电子门锁状态监控、设备状态监测、门开告警等，及时发现设备的丢失、损坏等异常状态；</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柜体三防设计，外部无裸露螺丝及可拆卸部件，防盗防撬。防护等级≥IP55，机柜外侧可直接冲洗；</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柜内具备19英寸机架安装条件，满足设备安装空间要求。支持设备机架式安装和机架+托盘式安装；</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路侧安装，柜体长宽＜1400mm*1000mm。</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（2）自动恒温系统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具备两套户外机柜空调，具备来电自启功能，可设置两套交叉运行。柜内温度自动调整，柜内温度应根据环境温度进行设定。</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温度控制：+5℃-+35℃；</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相对湿度：40%-65%。</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1）温/湿度探测器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温度测量范围 ：-40℃- 80℃；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湿度测量范围 ：0-100%RH；</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温度分辨率 0.1℃；</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湿度分辨率 0.1%RH。</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2）空调系统（两套）</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制冷方式：压缩机制冷；</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冷媒：R134a；</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单台制冷功率：500W-1000W；</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工作模式：双模；</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发热系统：PTC发热。</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（3）火灾监测及灭火系统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火灾监测及灭火系统具备烟雾探测、远程监控、远程运维、火情报警、记录等功能。</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（4）水浸报警系统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水浸报警系统具备水浸探测、远动监控、远程运维、水位预警、报警、记录等功能。</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（5）辅助照明系统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机柜内应设置多点LED照明，操作区域的照度能满足设备安装、维护和维修要求。</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（6）配线系统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配置1组AC 220V主控63A断路器，1组AC 220V备用电力接线端子，5千瓦发电机接入专用接口，配备发电机切换器，发电机和市电可以自/手动切换，实现设备供电不间断切换。</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（7）远动监控主机</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具备烟雾、水浸、温湿度和门磁等动力环境监控，监测控制模块支持TCP/UDP/SNMP协议；</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标准化19寸1U机架式设计，满足快速部署；</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按电力行业标准设计，满足电力遥控、遥信、遥测功能；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高速采集，高精度计算，实时捕获暂态电能信息；</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支持弹性扩展，满足业务的分期部署方案；</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远程遥控开合闸控制；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含动环监控软件，支持数据本地存储；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工业总线通讯，扩容方便；</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支持多种通讯方式，支持4G/5G通讯。</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（8）具备防雷击和防浪涌冲击能力。</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智能机柜能防御8/20us波形雷电流，标称放电电流20KA，最大放电电流40KA。</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（9）漏电保护</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机柜具备满足输出回路需求（N+2）的接线端子，并可实现超出6倍额电流时自动保护。</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接地系统需具有手/自动漏电自检功能，自检或断电后能自动送电，在30mA漏电流时0.1s内能自动保护。</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（10）UPS</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工作环境温度：O℃～+40℃；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工作相对湿度：5%～90%（无凝露）；</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电池放置于设备机柜内；</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关键设备后备时间≥4小时；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电池具有防盗功能；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锂电池安装尺寸符合标准机柜安装。</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（11）KVM切换屏</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具备4路切换显示及控制功能，17寸显示屏；</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产品接口：USB*2、PS2口*2；</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键盘设备：带数字小键盘的标准键盘，含鼠标触控板；</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切换方式：OSD菜单、按键切换；</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安装方式：标准机架安装。</w:t>
      </w:r>
    </w:p>
    <w:p>
      <w:pPr>
        <w:pStyle w:val="7"/>
        <w:ind w:firstLine="504"/>
        <w:rPr>
          <w:color w:val="auto"/>
        </w:rPr>
      </w:pPr>
      <w:r>
        <w:rPr>
          <w:rFonts w:hint="eastAsia"/>
          <w:color w:val="auto"/>
        </w:rPr>
        <w:t>TS407.5.11门架</w:t>
      </w:r>
      <w:r>
        <w:rPr>
          <w:rFonts w:hint="eastAsia"/>
          <w:bCs/>
          <w:color w:val="auto"/>
          <w:lang w:val="zh-CN"/>
        </w:rPr>
        <w:t>车道控制器</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采用低功耗处理器，CPU不低于双核，主频不低于2.5GHZ；</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内存：≥8GB；</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硬盘存储：系统盘采用固态硬盘，不低于120GB；数据盘不低于1TB；</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10/100/1000MBps自适应网络接口≥2个；</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USB接口数量：≥2个（USB2.0或以上）；</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串口（支持RS232）数量：≥4个；</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宜支持不少于16路开关量I/O；</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支持上电自动开机和远程硬重启；</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具备实时监测、故障诊断及报警提示功能。支持实时监测电源参数。支持与机柜门禁联动，实现入侵监控报警；</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 -35℃～+55℃；</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MTBF: ≥30000小时；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MTTR: ≤0.5小时；</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至少保存180天的流水记录和7天的图像信息；</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供电电压及适应范围：AC220V±20%；</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功耗：≤200W；</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含电源、网络等接口防雷功能。</w:t>
      </w:r>
    </w:p>
    <w:p>
      <w:pPr>
        <w:pStyle w:val="7"/>
        <w:ind w:firstLine="504"/>
        <w:rPr>
          <w:color w:val="auto"/>
        </w:rPr>
      </w:pPr>
      <w:r>
        <w:rPr>
          <w:rFonts w:hint="eastAsia"/>
          <w:color w:val="auto"/>
        </w:rPr>
        <w:t>TS407.5.12门架防火墙</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2U机架设备，实际可用网络接口≥8个10/100/1000M自适应电口、2个SFP光接口、≥2个SFP+光接口，≥2个扩展插槽，日志存储≥4T硬盘；</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防火墙吞吐量≥9G，防病毒吞吐量≥1250M，IPS 吞吐量≥1250M，最大并发连接数≥ 210万，每秒新建连接数≥15万；</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支持路由模式，交换模式，混合模式；</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病毒防护能力：能够对HTTP/FTP/POP3/SMTP/IMAP/SMB多种协议进行病毒查杀，可对流行病毒、木马、APT高级威胁等进行失陷检测；</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支持入侵防御功能，支持防病毒功能；</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支持且不限于IPsecVPN；</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支持集中管理，特征库实时更新；</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支持设备告警和日志信息与态势感知系统，安全管理平台等系统的对接。</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加密算法支持国家商用密码算法SM1-SM4；</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含特征库升级2年；</w:t>
      </w:r>
    </w:p>
    <w:p>
      <w:pPr>
        <w:numPr>
          <w:ilvl w:val="0"/>
          <w:numId w:val="1"/>
        </w:numPr>
        <w:adjustRightInd w:val="0"/>
        <w:snapToGrid w:val="0"/>
        <w:spacing w:line="360" w:lineRule="auto"/>
        <w:ind w:left="0" w:firstLine="506"/>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支持bypass功能。</w:t>
      </w:r>
    </w:p>
    <w:p>
      <w:pPr>
        <w:pStyle w:val="3"/>
        <w:spacing w:after="48" w:line="360" w:lineRule="auto"/>
        <w:ind w:firstLine="504"/>
        <w:rPr>
          <w:rFonts w:cs="宋体" w:asciiTheme="minorEastAsia" w:hAnsiTheme="minorEastAsia" w:eastAsiaTheme="minorEastAsia"/>
          <w:color w:val="auto"/>
          <w:sz w:val="24"/>
          <w:szCs w:val="24"/>
        </w:rPr>
      </w:pPr>
      <w:bookmarkStart w:id="380" w:name="_Hlk84928167"/>
      <w:r>
        <w:rPr>
          <w:rFonts w:hint="eastAsia" w:cs="宋体" w:asciiTheme="minorEastAsia" w:hAnsiTheme="minorEastAsia" w:eastAsiaTheme="minorEastAsia"/>
          <w:color w:val="auto"/>
          <w:sz w:val="24"/>
          <w:szCs w:val="24"/>
        </w:rPr>
        <w:t>TS407.6 ETC门架软件</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软件功能包括：设备监测控制、ETC分段计费、MTC分段计费、车牌图像识别、记录生成、存储、查询、远程控制、自我恢复、主备切换、数据存储重传、合计校验、参数管理、通行记录匹配、数据传输、时钟同步等。</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（1）ETC分段计费</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（2）MTC分段计费</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（3）车牌图像识别</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（4）记录生成、存储、查询</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根据业务要求，生成、存储、查询ETC交易流水、ETC通行记录、CPC卡通行记录、图像流水记录以及状态监测记录等。</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（5）设备监测</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通过设备接口实现对车道控制器及站级服务器CPU、内存、硬盘的占用率，关键设备（RSU、车牌图像识别设备）在线状态及工作状态（如RSU发射、接收工作状态），机柜温度、湿度、防盗，供电和通信网络工作状态信息采集，实时监测上报设备运行状态，当设备出现异常时，可以及时发出报警信息，并生成报警记录。</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（6）设备控制</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ETC门架系统通过设备接口实现对关键设备（RSU、车牌图像识别设备、车道控制器等）状态控制。</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（7）远程控制</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允许远程授权登录，调整关键设备参数，获取ETC门架日志、备份流水和图片，支持系统在线升级。</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（8）自我恢复</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具备自我恢复功能，当软件异常时，能够恢复到正常状态运行，不需要人为介入。</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（9）主备切换</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ETC门架系统具备主、备系统联网运行工作能力，当主系统运行异常，应及时切换到备用系统，确保ETC系统不间断工作。</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（10）数据存储重传</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当网络故障时，可以支持离线运行，并存储交易信息。当网络恢复时，自动将存储的数据上传。</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（11）合计校验</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对流水数据进行查询，并对合计数进行校验。</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（12）参数管理</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接收、查询和下发系统参数，并可对参数下发进行设置和管理。</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（13）通行记录匹配</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将ETC交易流水（或通行凭证）、ETC通行记录、图像流水记录进行自动匹配。</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（14）数据传输</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实现ETC门架系统数据传输。</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（15）时钟同步</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实现ETC门架系统与上级北斗授时时钟同步。</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（16）ETC门架系统软件支持并发交易，同一时间支持多个OBU/CPC卡交易。</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ETC门架系统软件应能在主流操作系统平台上运行，具备安全性、可靠性和可扩展性。</w:t>
      </w:r>
    </w:p>
    <w:p>
      <w:pPr>
        <w:autoSpaceDE w:val="0"/>
        <w:autoSpaceDN w:val="0"/>
        <w:adjustRightInd w:val="0"/>
        <w:spacing w:line="360" w:lineRule="auto"/>
        <w:ind w:firstLine="504" w:firstLineChars="210"/>
        <w:rPr>
          <w:rFonts w:hint="eastAsia"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ETC门架系统软件应符合《联网收费系统省域系统并网接入网络安全基本技术要求》对软件功能的相关要求。</w:t>
      </w:r>
      <w:bookmarkEnd w:id="380"/>
    </w:p>
    <w:p>
      <w:pPr>
        <w:pStyle w:val="3"/>
        <w:spacing w:line="360" w:lineRule="auto"/>
        <w:rPr>
          <w:rFonts w:cs="宋体" w:asciiTheme="minorEastAsia" w:hAnsiTheme="minorEastAsia" w:eastAsiaTheme="minorEastAsia"/>
          <w:i/>
          <w:color w:val="auto"/>
          <w:sz w:val="24"/>
          <w:szCs w:val="24"/>
        </w:rPr>
      </w:pPr>
      <w:r>
        <w:rPr>
          <w:rFonts w:hint="eastAsia" w:cs="宋体" w:asciiTheme="minorEastAsia" w:hAnsiTheme="minorEastAsia" w:eastAsiaTheme="minorEastAsia"/>
          <w:color w:val="auto"/>
          <w:sz w:val="24"/>
          <w:szCs w:val="24"/>
        </w:rPr>
        <w:t>TS407.7 钢结构防腐处理</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本项目内的ETC门架钢结构均采用热浸镀锌的防腐处理方式，防锈等级为</w:t>
      </w:r>
      <w:r>
        <w:rPr>
          <w:rFonts w:cs="宋体" w:asciiTheme="minorEastAsia" w:hAnsiTheme="minorEastAsia" w:eastAsiaTheme="minorEastAsia"/>
          <w:bCs/>
          <w:color w:val="auto"/>
          <w:sz w:val="24"/>
          <w:szCs w:val="24"/>
          <w:lang w:val="zh-CN"/>
        </w:rPr>
        <w:t xml:space="preserve">St2 </w:t>
      </w:r>
      <w:r>
        <w:rPr>
          <w:rFonts w:hint="eastAsia" w:cs="宋体" w:asciiTheme="minorEastAsia" w:hAnsiTheme="minorEastAsia" w:eastAsiaTheme="minorEastAsia"/>
          <w:bCs/>
          <w:color w:val="auto"/>
          <w:sz w:val="24"/>
          <w:szCs w:val="24"/>
          <w:vertAlign w:val="superscript"/>
          <w:lang w:val="zh-CN"/>
        </w:rPr>
        <w:t>1</w:t>
      </w:r>
      <w:r>
        <w:rPr>
          <w:rFonts w:cs="宋体" w:asciiTheme="minorEastAsia" w:hAnsiTheme="minorEastAsia" w:eastAsiaTheme="minorEastAsia"/>
          <w:bCs/>
          <w:color w:val="auto"/>
          <w:sz w:val="24"/>
          <w:szCs w:val="24"/>
          <w:lang w:val="zh-CN"/>
        </w:rPr>
        <w:t>/</w:t>
      </w:r>
      <w:r>
        <w:rPr>
          <w:rFonts w:hint="eastAsia" w:cs="宋体" w:asciiTheme="minorEastAsia" w:hAnsiTheme="minorEastAsia" w:eastAsiaTheme="minorEastAsia"/>
          <w:bCs/>
          <w:color w:val="auto"/>
          <w:sz w:val="24"/>
          <w:szCs w:val="24"/>
          <w:vertAlign w:val="subscript"/>
          <w:lang w:val="zh-CN"/>
        </w:rPr>
        <w:t>2</w:t>
      </w:r>
      <w:r>
        <w:rPr>
          <w:rFonts w:hint="eastAsia" w:cs="宋体" w:asciiTheme="minorEastAsia" w:hAnsiTheme="minorEastAsia" w:eastAsiaTheme="minorEastAsia"/>
          <w:bCs/>
          <w:color w:val="auto"/>
          <w:sz w:val="24"/>
          <w:szCs w:val="24"/>
          <w:lang w:val="zh-CN"/>
        </w:rPr>
        <w:t>，防腐做法：采用热镀锌防腐，紧固件的镀锌量为</w:t>
      </w:r>
      <w:r>
        <w:rPr>
          <w:rFonts w:cs="宋体" w:asciiTheme="minorEastAsia" w:hAnsiTheme="minorEastAsia" w:eastAsiaTheme="minorEastAsia"/>
          <w:bCs/>
          <w:color w:val="auto"/>
          <w:sz w:val="24"/>
          <w:szCs w:val="24"/>
          <w:lang w:val="zh-CN"/>
        </w:rPr>
        <w:t>350g/m</w:t>
      </w:r>
      <w:r>
        <w:rPr>
          <w:rFonts w:hint="eastAsia" w:cs="宋体" w:asciiTheme="minorEastAsia" w:hAnsiTheme="minorEastAsia" w:eastAsiaTheme="minorEastAsia"/>
          <w:bCs/>
          <w:color w:val="auto"/>
          <w:sz w:val="24"/>
          <w:szCs w:val="24"/>
          <w:vertAlign w:val="superscript"/>
          <w:lang w:val="zh-CN"/>
        </w:rPr>
        <w:t>2</w:t>
      </w:r>
      <w:r>
        <w:rPr>
          <w:rFonts w:hint="eastAsia" w:cs="宋体" w:asciiTheme="minorEastAsia" w:hAnsiTheme="minorEastAsia" w:eastAsiaTheme="minorEastAsia"/>
          <w:bCs/>
          <w:color w:val="auto"/>
          <w:sz w:val="24"/>
          <w:szCs w:val="24"/>
          <w:lang w:val="zh-CN"/>
        </w:rPr>
        <w:t>，其余钢结构件的镀锌量为</w:t>
      </w:r>
      <w:r>
        <w:rPr>
          <w:rFonts w:cs="宋体" w:asciiTheme="minorEastAsia" w:hAnsiTheme="minorEastAsia" w:eastAsiaTheme="minorEastAsia"/>
          <w:bCs/>
          <w:color w:val="auto"/>
          <w:sz w:val="24"/>
          <w:szCs w:val="24"/>
          <w:lang w:val="zh-CN"/>
        </w:rPr>
        <w:t>600g/m</w:t>
      </w:r>
      <w:r>
        <w:rPr>
          <w:rFonts w:hint="eastAsia" w:cs="宋体" w:asciiTheme="minorEastAsia" w:hAnsiTheme="minorEastAsia" w:eastAsiaTheme="minorEastAsia"/>
          <w:bCs/>
          <w:color w:val="auto"/>
          <w:sz w:val="24"/>
          <w:szCs w:val="24"/>
          <w:vertAlign w:val="superscript"/>
          <w:lang w:val="zh-CN"/>
        </w:rPr>
        <w:t>2</w:t>
      </w:r>
      <w:r>
        <w:rPr>
          <w:rFonts w:hint="eastAsia" w:cs="宋体" w:asciiTheme="minorEastAsia" w:hAnsiTheme="minorEastAsia" w:eastAsiaTheme="minorEastAsia"/>
          <w:bCs/>
          <w:color w:val="auto"/>
          <w:sz w:val="24"/>
          <w:szCs w:val="24"/>
          <w:lang w:val="zh-CN"/>
        </w:rPr>
        <w:t>。其他防腐要求应满足规范《公路交通工程钢构件防腐技术条件》（GB/T 18226-2015）。</w:t>
      </w:r>
    </w:p>
    <w:p>
      <w:pPr>
        <w:pStyle w:val="3"/>
        <w:spacing w:line="360" w:lineRule="auto"/>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TS407.8 防雷接地</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（1）为确保设备的正常运行，对整个系统实行分级防雷，外场设备安装避雷针，防直击雷；外场监控设备配置避雷器，应</w:t>
      </w:r>
      <w:r>
        <w:rPr>
          <w:rFonts w:cs="宋体" w:asciiTheme="minorEastAsia" w:hAnsiTheme="minorEastAsia" w:eastAsiaTheme="minorEastAsia"/>
          <w:bCs/>
          <w:color w:val="auto"/>
          <w:sz w:val="24"/>
          <w:szCs w:val="24"/>
          <w:lang w:val="zh-CN"/>
        </w:rPr>
        <w:t>符合GB/T34048-2018</w:t>
      </w:r>
      <w:r>
        <w:rPr>
          <w:rFonts w:hint="eastAsia" w:cs="宋体" w:asciiTheme="minorEastAsia" w:hAnsiTheme="minorEastAsia" w:eastAsiaTheme="minorEastAsia"/>
          <w:bCs/>
          <w:color w:val="auto"/>
          <w:sz w:val="24"/>
          <w:szCs w:val="24"/>
          <w:lang w:val="zh-CN"/>
        </w:rPr>
        <w:t>《高速</w:t>
      </w:r>
      <w:r>
        <w:rPr>
          <w:rFonts w:cs="宋体" w:asciiTheme="minorEastAsia" w:hAnsiTheme="minorEastAsia" w:eastAsiaTheme="minorEastAsia"/>
          <w:bCs/>
          <w:color w:val="auto"/>
          <w:sz w:val="24"/>
          <w:szCs w:val="24"/>
          <w:lang w:val="zh-CN"/>
        </w:rPr>
        <w:t>公路机电系统防雷技术规范</w:t>
      </w:r>
      <w:r>
        <w:rPr>
          <w:rFonts w:hint="eastAsia" w:cs="宋体" w:asciiTheme="minorEastAsia" w:hAnsiTheme="minorEastAsia" w:eastAsiaTheme="minorEastAsia"/>
          <w:bCs/>
          <w:color w:val="auto"/>
          <w:sz w:val="24"/>
          <w:szCs w:val="24"/>
          <w:lang w:val="zh-CN"/>
        </w:rPr>
        <w:t>》。所有的设备均需做好接地。</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（2）本次接地采取联合接地方式，ETC门架的防雷接地、所有设备的工作接地、所有外露金属的保护接地共用一个接地网，接地电阻应≤1欧姆。</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（3）接地网原则上应采取50*50*5*2500的热镀锌角钢接地极，间隔5米呈网状布置，接地极数量原则上为16根，接地网形状根据地形确定。</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（4）接地电阻不能满足≤1欧姆的要求时，应优先采取增加接地极、扩大接地网规模的方式。当接地极数量超过32根仍不能满足要求时，可采取增加降阻剂、降阻模块的方式处理，直至接地电阻满足要求。</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（5）ETC门架外侧基础法兰、接闪器引下线、配电柜、综合柜的接地引下线均采取40*4热镀锌扁钢，接地引下线埋设深度原则上不低于70cm。</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（6）配电柜基础处接地扁钢应预留在基础中心位置（应与预留管道位置保持一致），上端露出基础10cm左右。</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（7）接地极上端距离地面深度原则上不低于70cm，个别情况最小不低于50cm。</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（8）测量接地电阻时，应选择在土壤干燥时测量，不得采取临时泼水降阻取巧方式。</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（9）当接地线上跨明水时（如水沟），应套钢管并增大接地线导流面积，如采取局部双接地线焊接在一起等措施。</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（10）供配电设备浪涌</w:t>
      </w:r>
      <w:r>
        <w:rPr>
          <w:rFonts w:cs="宋体" w:asciiTheme="minorEastAsia" w:hAnsiTheme="minorEastAsia" w:eastAsiaTheme="minorEastAsia"/>
          <w:bCs/>
          <w:color w:val="auto"/>
          <w:sz w:val="24"/>
          <w:szCs w:val="24"/>
          <w:lang w:val="zh-CN"/>
        </w:rPr>
        <w:t>保护：能防御</w:t>
      </w:r>
      <w:r>
        <w:rPr>
          <w:rFonts w:hint="eastAsia" w:cs="宋体" w:asciiTheme="minorEastAsia" w:hAnsiTheme="minorEastAsia" w:eastAsiaTheme="minorEastAsia"/>
          <w:bCs/>
          <w:color w:val="auto"/>
          <w:sz w:val="24"/>
          <w:szCs w:val="24"/>
          <w:lang w:val="zh-CN"/>
        </w:rPr>
        <w:t>8/20us波形</w:t>
      </w:r>
      <w:r>
        <w:rPr>
          <w:rFonts w:cs="宋体" w:asciiTheme="minorEastAsia" w:hAnsiTheme="minorEastAsia" w:eastAsiaTheme="minorEastAsia"/>
          <w:bCs/>
          <w:color w:val="auto"/>
          <w:sz w:val="24"/>
          <w:szCs w:val="24"/>
          <w:lang w:val="zh-CN"/>
        </w:rPr>
        <w:t>雷电流，标称放电电流</w:t>
      </w:r>
      <w:r>
        <w:rPr>
          <w:rFonts w:hint="eastAsia" w:cs="宋体" w:asciiTheme="minorEastAsia" w:hAnsiTheme="minorEastAsia" w:eastAsiaTheme="minorEastAsia"/>
          <w:bCs/>
          <w:color w:val="auto"/>
          <w:sz w:val="24"/>
          <w:szCs w:val="24"/>
          <w:lang w:val="zh-CN"/>
        </w:rPr>
        <w:t>20</w:t>
      </w:r>
      <w:r>
        <w:rPr>
          <w:rFonts w:cs="宋体" w:asciiTheme="minorEastAsia" w:hAnsiTheme="minorEastAsia" w:eastAsiaTheme="minorEastAsia"/>
          <w:bCs/>
          <w:color w:val="auto"/>
          <w:sz w:val="24"/>
          <w:szCs w:val="24"/>
          <w:lang w:val="zh-CN"/>
        </w:rPr>
        <w:t>kA</w:t>
      </w:r>
      <w:r>
        <w:rPr>
          <w:rFonts w:hint="eastAsia" w:cs="宋体" w:asciiTheme="minorEastAsia" w:hAnsiTheme="minorEastAsia" w:eastAsiaTheme="minorEastAsia"/>
          <w:bCs/>
          <w:color w:val="auto"/>
          <w:sz w:val="24"/>
          <w:szCs w:val="24"/>
          <w:lang w:val="zh-CN"/>
        </w:rPr>
        <w:t>，</w:t>
      </w:r>
      <w:r>
        <w:rPr>
          <w:rFonts w:cs="宋体" w:asciiTheme="minorEastAsia" w:hAnsiTheme="minorEastAsia" w:eastAsiaTheme="minorEastAsia"/>
          <w:bCs/>
          <w:color w:val="auto"/>
          <w:sz w:val="24"/>
          <w:szCs w:val="24"/>
          <w:lang w:val="zh-CN"/>
        </w:rPr>
        <w:t>最大放电电流</w:t>
      </w:r>
      <w:r>
        <w:rPr>
          <w:rFonts w:hint="eastAsia" w:cs="宋体" w:asciiTheme="minorEastAsia" w:hAnsiTheme="minorEastAsia" w:eastAsiaTheme="minorEastAsia"/>
          <w:bCs/>
          <w:color w:val="auto"/>
          <w:sz w:val="24"/>
          <w:szCs w:val="24"/>
          <w:lang w:val="zh-CN"/>
        </w:rPr>
        <w:t>40</w:t>
      </w:r>
      <w:r>
        <w:rPr>
          <w:rFonts w:cs="宋体" w:asciiTheme="minorEastAsia" w:hAnsiTheme="minorEastAsia" w:eastAsiaTheme="minorEastAsia"/>
          <w:bCs/>
          <w:color w:val="auto"/>
          <w:sz w:val="24"/>
          <w:szCs w:val="24"/>
          <w:lang w:val="zh-CN"/>
        </w:rPr>
        <w:t xml:space="preserve"> kA</w:t>
      </w:r>
      <w:r>
        <w:rPr>
          <w:rFonts w:hint="eastAsia" w:cs="宋体" w:asciiTheme="minorEastAsia" w:hAnsiTheme="minorEastAsia" w:eastAsiaTheme="minorEastAsia"/>
          <w:bCs/>
          <w:color w:val="auto"/>
          <w:sz w:val="24"/>
          <w:szCs w:val="24"/>
          <w:lang w:val="zh-CN"/>
        </w:rPr>
        <w:t>，电压</w:t>
      </w:r>
      <w:r>
        <w:rPr>
          <w:rFonts w:cs="宋体" w:asciiTheme="minorEastAsia" w:hAnsiTheme="minorEastAsia" w:eastAsiaTheme="minorEastAsia"/>
          <w:bCs/>
          <w:color w:val="auto"/>
          <w:sz w:val="24"/>
          <w:szCs w:val="24"/>
          <w:lang w:val="zh-CN"/>
        </w:rPr>
        <w:t>保护水平</w:t>
      </w:r>
      <w:r>
        <w:rPr>
          <w:rFonts w:hint="eastAsia" w:cs="宋体" w:asciiTheme="minorEastAsia" w:hAnsiTheme="minorEastAsia" w:eastAsiaTheme="minorEastAsia"/>
          <w:bCs/>
          <w:color w:val="auto"/>
          <w:sz w:val="24"/>
          <w:szCs w:val="24"/>
          <w:lang w:val="zh-CN"/>
        </w:rPr>
        <w:t>≤2.8</w:t>
      </w:r>
      <w:r>
        <w:rPr>
          <w:rFonts w:cs="宋体" w:asciiTheme="minorEastAsia" w:hAnsiTheme="minorEastAsia" w:eastAsiaTheme="minorEastAsia"/>
          <w:bCs/>
          <w:color w:val="auto"/>
          <w:sz w:val="24"/>
          <w:szCs w:val="24"/>
          <w:lang w:val="zh-CN"/>
        </w:rPr>
        <w:t>kV</w:t>
      </w:r>
      <w:r>
        <w:rPr>
          <w:rFonts w:hint="eastAsia" w:cs="宋体" w:asciiTheme="minorEastAsia" w:hAnsiTheme="minorEastAsia" w:eastAsiaTheme="minorEastAsia"/>
          <w:bCs/>
          <w:color w:val="auto"/>
          <w:sz w:val="24"/>
          <w:szCs w:val="24"/>
          <w:lang w:val="zh-CN"/>
        </w:rPr>
        <w:t>，</w:t>
      </w:r>
      <w:r>
        <w:rPr>
          <w:rFonts w:cs="宋体" w:asciiTheme="minorEastAsia" w:hAnsiTheme="minorEastAsia" w:eastAsiaTheme="minorEastAsia"/>
          <w:bCs/>
          <w:color w:val="auto"/>
          <w:sz w:val="24"/>
          <w:szCs w:val="24"/>
          <w:lang w:val="zh-CN"/>
        </w:rPr>
        <w:t>响应时间ta</w:t>
      </w:r>
      <w:r>
        <w:rPr>
          <w:rFonts w:hint="eastAsia" w:cs="宋体" w:asciiTheme="minorEastAsia" w:hAnsiTheme="minorEastAsia" w:eastAsiaTheme="minorEastAsia"/>
          <w:bCs/>
          <w:color w:val="auto"/>
          <w:sz w:val="24"/>
          <w:szCs w:val="24"/>
          <w:lang w:val="zh-CN"/>
        </w:rPr>
        <w:t>≤25</w:t>
      </w:r>
      <w:r>
        <w:rPr>
          <w:rFonts w:cs="宋体" w:asciiTheme="minorEastAsia" w:hAnsiTheme="minorEastAsia" w:eastAsiaTheme="minorEastAsia"/>
          <w:bCs/>
          <w:color w:val="auto"/>
          <w:sz w:val="24"/>
          <w:szCs w:val="24"/>
          <w:lang w:val="zh-CN"/>
        </w:rPr>
        <w:t>ns</w:t>
      </w:r>
      <w:r>
        <w:rPr>
          <w:rFonts w:hint="eastAsia" w:cs="宋体" w:asciiTheme="minorEastAsia" w:hAnsiTheme="minorEastAsia" w:eastAsiaTheme="minorEastAsia"/>
          <w:bCs/>
          <w:color w:val="auto"/>
          <w:sz w:val="24"/>
          <w:szCs w:val="24"/>
          <w:lang w:val="zh-CN"/>
        </w:rPr>
        <w:t>；</w:t>
      </w:r>
      <w:r>
        <w:rPr>
          <w:rFonts w:cs="宋体" w:asciiTheme="minorEastAsia" w:hAnsiTheme="minorEastAsia" w:eastAsiaTheme="minorEastAsia"/>
          <w:bCs/>
          <w:color w:val="auto"/>
          <w:sz w:val="24"/>
          <w:szCs w:val="24"/>
          <w:lang w:val="zh-CN"/>
        </w:rPr>
        <w:t>电涌保护器应配套保护熔断器</w:t>
      </w:r>
      <w:r>
        <w:rPr>
          <w:rFonts w:hint="eastAsia" w:cs="宋体" w:asciiTheme="minorEastAsia" w:hAnsiTheme="minorEastAsia" w:eastAsiaTheme="minorEastAsia"/>
          <w:bCs/>
          <w:color w:val="auto"/>
          <w:sz w:val="24"/>
          <w:szCs w:val="24"/>
          <w:lang w:val="zh-CN"/>
        </w:rPr>
        <w:t>。</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（11）RSU</w:t>
      </w:r>
      <w:r>
        <w:rPr>
          <w:rFonts w:cs="宋体" w:asciiTheme="minorEastAsia" w:hAnsiTheme="minorEastAsia" w:eastAsiaTheme="minorEastAsia"/>
          <w:bCs/>
          <w:color w:val="auto"/>
          <w:sz w:val="24"/>
          <w:szCs w:val="24"/>
          <w:lang w:val="zh-CN"/>
        </w:rPr>
        <w:t>、车牌图像</w:t>
      </w:r>
      <w:r>
        <w:rPr>
          <w:rFonts w:hint="eastAsia" w:cs="宋体" w:asciiTheme="minorEastAsia" w:hAnsiTheme="minorEastAsia" w:eastAsiaTheme="minorEastAsia"/>
          <w:bCs/>
          <w:color w:val="auto"/>
          <w:sz w:val="24"/>
          <w:szCs w:val="24"/>
          <w:lang w:val="zh-CN"/>
        </w:rPr>
        <w:t>识别</w:t>
      </w:r>
      <w:r>
        <w:rPr>
          <w:rFonts w:cs="宋体" w:asciiTheme="minorEastAsia" w:hAnsiTheme="minorEastAsia" w:eastAsiaTheme="minorEastAsia"/>
          <w:bCs/>
          <w:color w:val="auto"/>
          <w:sz w:val="24"/>
          <w:szCs w:val="24"/>
          <w:lang w:val="zh-CN"/>
        </w:rPr>
        <w:t>设备</w:t>
      </w:r>
      <w:r>
        <w:rPr>
          <w:rFonts w:hint="eastAsia" w:cs="宋体" w:asciiTheme="minorEastAsia" w:hAnsiTheme="minorEastAsia" w:eastAsiaTheme="minorEastAsia"/>
          <w:bCs/>
          <w:color w:val="auto"/>
          <w:sz w:val="24"/>
          <w:szCs w:val="24"/>
          <w:lang w:val="zh-CN"/>
        </w:rPr>
        <w:t>、</w:t>
      </w:r>
      <w:r>
        <w:rPr>
          <w:rFonts w:cs="宋体" w:asciiTheme="minorEastAsia" w:hAnsiTheme="minorEastAsia" w:eastAsiaTheme="minorEastAsia"/>
          <w:bCs/>
          <w:color w:val="auto"/>
          <w:sz w:val="24"/>
          <w:szCs w:val="24"/>
          <w:lang w:val="zh-CN"/>
        </w:rPr>
        <w:t>车道控制器、高清摄像机等设备的</w:t>
      </w:r>
      <w:r>
        <w:rPr>
          <w:rFonts w:hint="eastAsia" w:cs="宋体" w:asciiTheme="minorEastAsia" w:hAnsiTheme="minorEastAsia" w:eastAsiaTheme="minorEastAsia"/>
          <w:bCs/>
          <w:color w:val="auto"/>
          <w:sz w:val="24"/>
          <w:szCs w:val="24"/>
          <w:lang w:val="zh-CN"/>
        </w:rPr>
        <w:t>信号</w:t>
      </w:r>
      <w:r>
        <w:rPr>
          <w:rFonts w:cs="宋体" w:asciiTheme="minorEastAsia" w:hAnsiTheme="minorEastAsia" w:eastAsiaTheme="minorEastAsia"/>
          <w:bCs/>
          <w:color w:val="auto"/>
          <w:sz w:val="24"/>
          <w:szCs w:val="24"/>
          <w:lang w:val="zh-CN"/>
        </w:rPr>
        <w:t>、控制端口应安装适配的SPD。</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（12）</w:t>
      </w:r>
      <w:r>
        <w:rPr>
          <w:rFonts w:cs="宋体" w:asciiTheme="minorEastAsia" w:hAnsiTheme="minorEastAsia" w:eastAsiaTheme="minorEastAsia"/>
          <w:bCs/>
          <w:color w:val="auto"/>
          <w:sz w:val="24"/>
          <w:szCs w:val="24"/>
          <w:lang w:val="zh-CN"/>
        </w:rPr>
        <w:t>设备机柜的外壳、引入机柜的金属管线</w:t>
      </w:r>
      <w:r>
        <w:rPr>
          <w:rFonts w:hint="eastAsia" w:cs="宋体" w:asciiTheme="minorEastAsia" w:hAnsiTheme="minorEastAsia" w:eastAsiaTheme="minorEastAsia"/>
          <w:bCs/>
          <w:color w:val="auto"/>
          <w:sz w:val="24"/>
          <w:szCs w:val="24"/>
          <w:lang w:val="zh-CN"/>
        </w:rPr>
        <w:t>应</w:t>
      </w:r>
      <w:r>
        <w:rPr>
          <w:rFonts w:cs="宋体" w:asciiTheme="minorEastAsia" w:hAnsiTheme="minorEastAsia" w:eastAsiaTheme="minorEastAsia"/>
          <w:bCs/>
          <w:color w:val="auto"/>
          <w:sz w:val="24"/>
          <w:szCs w:val="24"/>
          <w:lang w:val="zh-CN"/>
        </w:rPr>
        <w:t>与保护接地装置做等电位连接。</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（13）铠装</w:t>
      </w:r>
      <w:r>
        <w:rPr>
          <w:rFonts w:cs="宋体" w:asciiTheme="minorEastAsia" w:hAnsiTheme="minorEastAsia" w:eastAsiaTheme="minorEastAsia"/>
          <w:bCs/>
          <w:color w:val="auto"/>
          <w:sz w:val="24"/>
          <w:szCs w:val="24"/>
          <w:lang w:val="zh-CN"/>
        </w:rPr>
        <w:t>或穿金属管道埋地敷设的供电线缆，铠装</w:t>
      </w:r>
      <w:r>
        <w:rPr>
          <w:rFonts w:hint="eastAsia" w:cs="宋体" w:asciiTheme="minorEastAsia" w:hAnsiTheme="minorEastAsia" w:eastAsiaTheme="minorEastAsia"/>
          <w:bCs/>
          <w:color w:val="auto"/>
          <w:sz w:val="24"/>
          <w:szCs w:val="24"/>
          <w:lang w:val="zh-CN"/>
        </w:rPr>
        <w:t>屏蔽</w:t>
      </w:r>
      <w:r>
        <w:rPr>
          <w:rFonts w:cs="宋体" w:asciiTheme="minorEastAsia" w:hAnsiTheme="minorEastAsia" w:eastAsiaTheme="minorEastAsia"/>
          <w:bCs/>
          <w:color w:val="auto"/>
          <w:sz w:val="24"/>
          <w:szCs w:val="24"/>
          <w:lang w:val="zh-CN"/>
        </w:rPr>
        <w:t>层或金属管道应与保护接地装置做等电位接地。</w:t>
      </w:r>
    </w:p>
    <w:bookmarkEnd w:id="382"/>
    <w:sectPr>
      <w:headerReference r:id="rId3" w:type="default"/>
      <w:footerReference r:id="rId4" w:type="default"/>
      <w:footnotePr>
        <w:numFmt w:val="decimalEnclosedCircleChinese"/>
      </w:footnotePr>
      <w:pgSz w:w="11906" w:h="16838"/>
      <w:pgMar w:top="1083" w:right="1440" w:bottom="1083" w:left="1440" w:header="851" w:footer="992" w:gutter="0"/>
      <w:pgNumType w:start="15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文鼎大标宋简">
    <w:altName w:val="Arial Unicode MS"/>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Bold">
    <w:altName w:val="Times New Roman"/>
    <w:panose1 w:val="02020803070505020304"/>
    <w:charset w:val="00"/>
    <w:family w:val="roman"/>
    <w:pitch w:val="default"/>
    <w:sig w:usb0="00000000" w:usb1="00000000" w:usb2="00000000" w:usb3="00000000" w:csb0="00000001" w:csb1="00000000"/>
  </w:font>
  <w:font w:name="文鼎CS书宋二">
    <w:altName w:val="宋体"/>
    <w:panose1 w:val="00000000000000000000"/>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firstLine="379"/>
      <w:jc w:val="center"/>
    </w:pPr>
    <w:r>
      <mc:AlternateContent>
        <mc:Choice Requires="wps">
          <w:drawing>
            <wp:anchor distT="0" distB="0" distL="114300" distR="114300" simplePos="0" relativeHeight="251667456" behindDoc="0" locked="0" layoutInCell="1" allowOverlap="1">
              <wp:simplePos x="0" y="0"/>
              <wp:positionH relativeFrom="column">
                <wp:posOffset>22860</wp:posOffset>
              </wp:positionH>
              <wp:positionV relativeFrom="paragraph">
                <wp:posOffset>106680</wp:posOffset>
              </wp:positionV>
              <wp:extent cx="5661660" cy="0"/>
              <wp:effectExtent l="0" t="0" r="0" b="0"/>
              <wp:wrapNone/>
              <wp:docPr id="697801978" name="直接连接符 13"/>
              <wp:cNvGraphicFramePr/>
              <a:graphic xmlns:a="http://schemas.openxmlformats.org/drawingml/2006/main">
                <a:graphicData uri="http://schemas.microsoft.com/office/word/2010/wordprocessingShape">
                  <wps:wsp>
                    <wps:cNvCnPr/>
                    <wps:spPr>
                      <a:xfrm flipV="1">
                        <a:off x="0" y="0"/>
                        <a:ext cx="5661660" cy="0"/>
                      </a:xfrm>
                      <a:prstGeom prst="line">
                        <a:avLst/>
                      </a:prstGeom>
                      <a:ln w="15875" cmpd="thinThick"/>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3" o:spid="_x0000_s1026" o:spt="20" style="position:absolute;left:0pt;flip:y;margin-left:1.8pt;margin-top:8.4pt;height:0pt;width:445.8pt;z-index:251667456;mso-width-relative:page;mso-height-relative:page;" filled="f" stroked="t" coordsize="21600,21600" o:gfxdata="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GEH8bSAAAABwEAAA8AAAAAAAAAAQAgAAAAIgAAAGRycy9kb3du&#10;cmV2LnhtbFBLAQIUABQAAAAIAIdO4kBvopUVBQIAAO0DAAAOAAAAAAAAAAEAIAAAACEBAABkcnMv&#10;ZTJvRG9jLnhtbFBLBQYAAAAABgAGAFkBAACYBQAAAAA=&#10;">
              <v:fill on="f" focussize="0,0"/>
              <v:stroke weight="1.25pt" color="#000000 [3200]" linestyle="thinThick" joinstyle="round"/>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990600</wp:posOffset>
              </wp:positionH>
              <wp:positionV relativeFrom="paragraph">
                <wp:posOffset>9883140</wp:posOffset>
              </wp:positionV>
              <wp:extent cx="5730240" cy="7620"/>
              <wp:effectExtent l="10795" t="13335" r="12065" b="17145"/>
              <wp:wrapNone/>
              <wp:docPr id="72509019" name="直接箭头连接符 11"/>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11" o:spid="_x0000_s1026" o:spt="32" type="#_x0000_t32" style="position:absolute;left:0pt;flip:y;margin-left:78pt;margin-top:778.2pt;height:0.6pt;width:451.2pt;z-index:251665408;mso-width-relative:page;mso-height-relative:page;" filled="f" stroked="t" coordsize="21600,21600" o:gfxdata="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z6i3zZAAAADgEAAA8AAAAAAAAAAQAgAAAAIgAA&#10;AGRycy9kb3ducmV2LnhtbFBLAQIUABQAAAAIAIdO4kB8uKKFBwIAANQDAAAOAAAAAAAAAAEAIAAA&#10;ACgBAABkcnMvZTJvRG9jLnhtbFBLBQYAAAAABgAGAFkBAAChBQAAAAA=&#10;">
              <v:fill on="f" focussize="0,0"/>
              <v:stroke weight="1.5pt" color="#000000" joinstyle="round"/>
              <v:imagedata o:title=""/>
              <o:lock v:ext="edit" aspectratio="f"/>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990600</wp:posOffset>
              </wp:positionH>
              <wp:positionV relativeFrom="paragraph">
                <wp:posOffset>9883140</wp:posOffset>
              </wp:positionV>
              <wp:extent cx="5730240" cy="7620"/>
              <wp:effectExtent l="10795" t="13335" r="12065" b="17145"/>
              <wp:wrapNone/>
              <wp:docPr id="735648057" name="直接箭头连接符 12"/>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12" o:spid="_x0000_s1026" o:spt="32" type="#_x0000_t32" style="position:absolute;left:0pt;flip:y;margin-left:78pt;margin-top:778.2pt;height:0.6pt;width:451.2pt;z-index:251666432;mso-width-relative:page;mso-height-relative:page;" filled="f" stroked="t" coordsize="21600,21600" o:gfxdata="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z6i3zZAAAADgEAAA8AAAAAAAAAAQAgAAAAIgAA&#10;AGRycy9kb3ducmV2LnhtbFBLAQIUABQAAAAIAIdO4kAzTzFdBwIAANUDAAAOAAAAAAAAAAEAIAAA&#10;ACgBAABkcnMvZTJvRG9jLnhtbFBLBQYAAAAABgAGAFkBAAChBQAAAAA=&#10;">
              <v:fill on="f" focussize="0,0"/>
              <v:stroke weight="1.5pt" color="#000000" joinstyle="round"/>
              <v:imagedata o:title=""/>
              <o:lock v:ext="edit" aspectratio="f"/>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2863850</wp:posOffset>
              </wp:positionH>
              <wp:positionV relativeFrom="paragraph">
                <wp:posOffset>152400</wp:posOffset>
              </wp:positionV>
              <wp:extent cx="172085" cy="567055"/>
              <wp:effectExtent l="0" t="0" r="18415" b="10795"/>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72085" cy="567055"/>
                      </a:xfrm>
                      <a:prstGeom prst="rect">
                        <a:avLst/>
                      </a:prstGeom>
                      <a:noFill/>
                      <a:ln>
                        <a:noFill/>
                      </a:ln>
                    </wps:spPr>
                    <wps:txbx>
                      <w:txbxContent>
                        <w:sdt>
                          <w:sdtPr>
                            <w:id w:val="1371735593"/>
                          </w:sdtPr>
                          <w:sdtContent>
                            <w:p>
                              <w:pPr>
                                <w:pStyle w:val="37"/>
                                <w:jc w:val="center"/>
                              </w:pPr>
                              <w:r>
                                <w:fldChar w:fldCharType="begin"/>
                              </w:r>
                              <w:r>
                                <w:instrText xml:space="preserve">PAGE   \* MERGEFORMAT</w:instrText>
                              </w:r>
                              <w:r>
                                <w:fldChar w:fldCharType="separate"/>
                              </w:r>
                              <w:r>
                                <w:rPr>
                                  <w:lang w:val="zh-CN"/>
                                </w:rPr>
                                <w:t>224</w:t>
                              </w:r>
                              <w:r>
                                <w:rPr>
                                  <w:lang w:val="zh-CN"/>
                                </w:rPr>
                                <w:fldChar w:fldCharType="end"/>
                              </w:r>
                            </w:p>
                          </w:sdtContent>
                        </w:sdt>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left:225.5pt;margin-top:12pt;height:44.65pt;width:13.55pt;mso-position-horizontal-relative:margin;mso-wrap-style:none;z-index:251659264;mso-width-relative:page;mso-height-relative:page;" filled="f" stroked="f" coordsize="21600,21600" o:gfxdata="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IdaGpbXAAAACgEAAA8AAAAAAAAAAQAgAAAAIgAAAGRycy9kb3ducmV2LnhtbFBL&#10;AQIUABQAAAAIAIdO4kBnARhU9wEAAAEEAAAOAAAAAAAAAAEAIAAAACYBAABkcnMvZTJvRG9jLnht&#10;bFBLBQYAAAAABgAGAFkBAACPBQAAAAA=&#10;">
              <v:fill on="f" focussize="0,0"/>
              <v:stroke on="f"/>
              <v:imagedata o:title=""/>
              <o:lock v:ext="edit" aspectratio="f"/>
              <v:textbox inset="0mm,0mm,0mm,0mm" style="mso-fit-shape-to-text:t;">
                <w:txbxContent>
                  <w:sdt>
                    <w:sdtPr>
                      <w:id w:val="1371735593"/>
                    </w:sdtPr>
                    <w:sdtContent>
                      <w:p>
                        <w:pPr>
                          <w:pStyle w:val="37"/>
                          <w:jc w:val="center"/>
                        </w:pPr>
                        <w:r>
                          <w:fldChar w:fldCharType="begin"/>
                        </w:r>
                        <w:r>
                          <w:instrText xml:space="preserve">PAGE   \* MERGEFORMAT</w:instrText>
                        </w:r>
                        <w:r>
                          <w:fldChar w:fldCharType="separate"/>
                        </w:r>
                        <w:r>
                          <w:rPr>
                            <w:lang w:val="zh-CN"/>
                          </w:rPr>
                          <w:t>224</w:t>
                        </w:r>
                        <w:r>
                          <w:rPr>
                            <w:lang w:val="zh-CN"/>
                          </w:rPr>
                          <w:fldChar w:fldCharType="end"/>
                        </w:r>
                      </w:p>
                    </w:sdtContent>
                  </w:sdt>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952500</wp:posOffset>
              </wp:positionH>
              <wp:positionV relativeFrom="paragraph">
                <wp:posOffset>9906000</wp:posOffset>
              </wp:positionV>
              <wp:extent cx="5730240" cy="7620"/>
              <wp:effectExtent l="18415" t="9525" r="13970" b="11430"/>
              <wp:wrapNone/>
              <wp:docPr id="1911268519" name="直接箭头连接符 9"/>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9" o:spid="_x0000_s1026" o:spt="32" type="#_x0000_t32" style="position:absolute;left:0pt;flip:y;margin-left:75pt;margin-top:780pt;height:0.6pt;width:451.2pt;z-index:251664384;mso-width-relative:page;mso-height-relative:page;" filled="f" stroked="t" coordsize="21600,21600" o:gfxdata="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&#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KlkjT2AAAAA4BAAAPAAAAAAAAAAEAIAAAACIAAABk&#10;cnMvZG93bnJldi54bWxQSwECFAAUAAAACACHTuJADQnZnAYCAADVAwAADgAAAAAAAAABACAAAAAn&#10;AQAAZHJzL2Uyb0RvYy54bWxQSwUGAAAAAAYABgBZAQAAnwUAAAAA&#10;">
              <v:fill on="f" focussize="0,0"/>
              <v:stroke weight="1.5pt" color="#000000" joinstyle="round"/>
              <v:imagedata o:title=""/>
              <o:lock v:ext="edit" aspectratio="f"/>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952500</wp:posOffset>
              </wp:positionH>
              <wp:positionV relativeFrom="paragraph">
                <wp:posOffset>9906000</wp:posOffset>
              </wp:positionV>
              <wp:extent cx="5730240" cy="7620"/>
              <wp:effectExtent l="18415" t="9525" r="13970" b="11430"/>
              <wp:wrapNone/>
              <wp:docPr id="1187342750" name="直接箭头连接符 8"/>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8" o:spid="_x0000_s1026" o:spt="32" type="#_x0000_t32" style="position:absolute;left:0pt;flip:y;margin-left:75pt;margin-top:780pt;height:0.6pt;width:451.2pt;z-index:251663360;mso-width-relative:page;mso-height-relative:page;" filled="f" stroked="t" coordsize="21600,21600" o:gfxdata="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pZI09gAAAAOAQAADwAAAAAAAAABACAAAAAiAAAAZHJz&#10;L2Rvd25yZXYueG1sUEsBAhQAFAAAAAgAh07iQDIOeJsEAgAA1QMAAA4AAAAAAAAAAQAgAAAAJwEA&#10;AGRycy9lMm9Eb2MueG1sUEsFBgAAAAAGAAYAWQEAAJ0FAAAAAA==&#10;">
              <v:fill on="f" focussize="0,0"/>
              <v:stroke weight="1.5pt" color="#000000" joinstyle="round"/>
              <v:imagedata o:title=""/>
              <o:lock v:ext="edit" aspectratio="f"/>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952500</wp:posOffset>
              </wp:positionH>
              <wp:positionV relativeFrom="paragraph">
                <wp:posOffset>9906000</wp:posOffset>
              </wp:positionV>
              <wp:extent cx="5730240" cy="7620"/>
              <wp:effectExtent l="18415" t="9525" r="13970" b="11430"/>
              <wp:wrapNone/>
              <wp:docPr id="1005392674" name="直接箭头连接符 6"/>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6" o:spid="_x0000_s1026" o:spt="32" type="#_x0000_t32" style="position:absolute;left:0pt;flip:y;margin-left:75pt;margin-top:780pt;height:0.6pt;width:451.2pt;z-index:251662336;mso-width-relative:page;mso-height-relative:page;" filled="f" stroked="t" coordsize="21600,21600" o:gfxdata="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pZI09gAAAAOAQAADwAAAAAAAAABACAAAAAiAAAA&#10;ZHJzL2Rvd25yZXYueG1sUEsBAhQAFAAAAAgAh07iQM9ZrecHAgAA1QMAAA4AAAAAAAAAAQAgAAAA&#10;JwEAAGRycy9lMm9Eb2MueG1sUEsFBgAAAAAGAAYAWQEAAKAFAAAAAA==&#10;">
              <v:fill on="f" focussize="0,0"/>
              <v:stroke weight="1.5pt"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952500</wp:posOffset>
              </wp:positionH>
              <wp:positionV relativeFrom="paragraph">
                <wp:posOffset>9906000</wp:posOffset>
              </wp:positionV>
              <wp:extent cx="5730240" cy="7620"/>
              <wp:effectExtent l="18415" t="9525" r="13970" b="11430"/>
              <wp:wrapNone/>
              <wp:docPr id="731923862" name="直接箭头连接符 5"/>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5" o:spid="_x0000_s1026" o:spt="32" type="#_x0000_t32" style="position:absolute;left:0pt;flip:y;margin-left:75pt;margin-top:780pt;height:0.6pt;width:451.2pt;z-index:251661312;mso-width-relative:page;mso-height-relative:page;" filled="f" stroked="t" coordsize="21600,21600" o:gfxdata="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KlkjT2AAAAA4BAAAPAAAAAAAAAAEAIAAAACIAAABk&#10;cnMvZG93bnJldi54bWxQSwECFAAUAAAACACHTuJAdRMp8QYCAADUAwAADgAAAAAAAAABACAAAAAn&#10;AQAAZHJzL2Uyb0RvYy54bWxQSwUGAAAAAAYABgBZAQAAnwUAAAAA&#10;">
              <v:fill on="f" focussize="0,0"/>
              <v:stroke weight="1.5pt" color="#000000" joinstyle="round"/>
              <v:imagedata o:title=""/>
              <o:lock v:ext="edit" aspectratio="f"/>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952500</wp:posOffset>
              </wp:positionH>
              <wp:positionV relativeFrom="paragraph">
                <wp:posOffset>9906000</wp:posOffset>
              </wp:positionV>
              <wp:extent cx="5730240" cy="7620"/>
              <wp:effectExtent l="18415" t="9525" r="13970" b="11430"/>
              <wp:wrapNone/>
              <wp:docPr id="684064146" name="直接箭头连接符 4"/>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4" o:spid="_x0000_s1026" o:spt="32" type="#_x0000_t32" style="position:absolute;left:0pt;flip:y;margin-left:75pt;margin-top:780pt;height:0.6pt;width:451.2pt;z-index:251660288;mso-width-relative:page;mso-height-relative:page;" filled="f" stroked="t" coordsize="21600,21600" o:gfxdata="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KlkjT2AAAAA4BAAAPAAAAAAAAAAEAIAAAACIAAABk&#10;cnMvZG93bnJldi54bWxQSwECFAAUAAAACACHTuJAMdL20QYCAADUAwAADgAAAAAAAAABACAAAAAn&#10;AQAAZHJzL2Uyb0RvYy54bWxQSwUGAAAAAAYABgBZAQAAnwUAAAAA&#10;">
              <v:fill on="f" focussize="0,0"/>
              <v:stroke weight="1.5pt" color="#000000" joinstyle="round"/>
              <v:imagedata o:title=""/>
              <o:lock v:ext="edit" aspectratio="f"/>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firstLine="379"/>
      <w:rPr>
        <w:rFonts w:ascii="楷体_GB2312" w:eastAsia="楷体_GB2312"/>
        <w:b/>
        <w:sz w:val="21"/>
        <w:szCs w:val="21"/>
      </w:rPr>
    </w:pPr>
    <w:bookmarkStart w:id="381" w:name="OLE_LINK22"/>
    <w:r>
      <w:rPr>
        <w:rFonts w:hint="eastAsia"/>
      </w:rPr>
      <w:t>S22天天高速安庆至潜山段（月山至潜山）</w:t>
    </w:r>
    <w:bookmarkEnd w:id="381"/>
    <w:r>
      <w:rPr>
        <w:rFonts w:hint="eastAsia"/>
      </w:rPr>
      <w:t xml:space="preserve">招标文件                 </w:t>
    </w:r>
    <w:r>
      <w:rPr>
        <w:rFonts w:hint="eastAsia" w:ascii="仿宋_GB2312" w:eastAsia="仿宋_GB2312"/>
        <w:b/>
      </w:rPr>
      <w:t xml:space="preserve">                     </w:t>
    </w:r>
    <w:r>
      <w:rPr>
        <w:rFonts w:hint="eastAsia"/>
      </w:rPr>
      <w:t>400章收费系统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B33D8A"/>
    <w:multiLevelType w:val="multilevel"/>
    <w:tmpl w:val="18B33D8A"/>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59780074"/>
    <w:multiLevelType w:val="singleLevel"/>
    <w:tmpl w:val="59780074"/>
    <w:lvl w:ilvl="0" w:tentative="0">
      <w:start w:val="1"/>
      <w:numFmt w:val="decimalEnclosedCircleChinese"/>
      <w:suff w:val="nothing"/>
      <w:lvlText w:val="%1　"/>
      <w:lvlJc w:val="left"/>
      <w:pPr>
        <w:ind w:left="0" w:firstLine="400"/>
      </w:pPr>
      <w:rPr>
        <w:rFonts w:hint="eastAsia"/>
      </w:rPr>
    </w:lvl>
  </w:abstractNum>
  <w:abstractNum w:abstractNumId="2">
    <w:nsid w:val="5A9B2A32"/>
    <w:multiLevelType w:val="multilevel"/>
    <w:tmpl w:val="5A9B2A32"/>
    <w:lvl w:ilvl="0" w:tentative="0">
      <w:start w:val="1"/>
      <w:numFmt w:val="bullet"/>
      <w:lvlText w:val=""/>
      <w:lvlJc w:val="left"/>
      <w:pPr>
        <w:ind w:left="1554" w:hanging="420"/>
      </w:pPr>
      <w:rPr>
        <w:rFonts w:hint="default" w:ascii="Wingdings" w:hAnsi="Wingdings"/>
        <w:b w:val="0"/>
        <w:i w:val="0"/>
        <w:sz w:val="24"/>
        <w:szCs w:val="24"/>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documentProtection w:enforcement="0"/>
  <w:defaultTabStop w:val="420"/>
  <w:drawingGridVerticalSpacing w:val="156"/>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5NDMxZjc4NTQ5ZTZjNGU5ZDRlNzU5NWI3YzM2NjYifQ=="/>
    <w:docVar w:name="KSO_WPS_MARK_KEY" w:val="ca8cd976-e806-4ac1-a955-785131fbffeb"/>
  </w:docVars>
  <w:rsids>
    <w:rsidRoot w:val="00172A27"/>
    <w:rsid w:val="000010B4"/>
    <w:rsid w:val="00001A3D"/>
    <w:rsid w:val="00001C56"/>
    <w:rsid w:val="000021DB"/>
    <w:rsid w:val="000028C3"/>
    <w:rsid w:val="00004AF0"/>
    <w:rsid w:val="00004D6C"/>
    <w:rsid w:val="00004EFB"/>
    <w:rsid w:val="00005D4A"/>
    <w:rsid w:val="000061F0"/>
    <w:rsid w:val="00006293"/>
    <w:rsid w:val="00006625"/>
    <w:rsid w:val="00006CF2"/>
    <w:rsid w:val="00006D59"/>
    <w:rsid w:val="00006F96"/>
    <w:rsid w:val="00007759"/>
    <w:rsid w:val="00007A89"/>
    <w:rsid w:val="00007A8A"/>
    <w:rsid w:val="0001055E"/>
    <w:rsid w:val="000107B0"/>
    <w:rsid w:val="00010C0C"/>
    <w:rsid w:val="00011823"/>
    <w:rsid w:val="000118D9"/>
    <w:rsid w:val="00011EBC"/>
    <w:rsid w:val="00012C86"/>
    <w:rsid w:val="00012DA1"/>
    <w:rsid w:val="00013314"/>
    <w:rsid w:val="00013329"/>
    <w:rsid w:val="00013A3C"/>
    <w:rsid w:val="00013A45"/>
    <w:rsid w:val="000142F9"/>
    <w:rsid w:val="000143CE"/>
    <w:rsid w:val="00014B49"/>
    <w:rsid w:val="00014D42"/>
    <w:rsid w:val="00014FEB"/>
    <w:rsid w:val="000152BD"/>
    <w:rsid w:val="000153E1"/>
    <w:rsid w:val="00015E12"/>
    <w:rsid w:val="00015EA3"/>
    <w:rsid w:val="0001630E"/>
    <w:rsid w:val="0001788B"/>
    <w:rsid w:val="00017FC5"/>
    <w:rsid w:val="0002056D"/>
    <w:rsid w:val="00021133"/>
    <w:rsid w:val="0002229B"/>
    <w:rsid w:val="00022AC7"/>
    <w:rsid w:val="00023661"/>
    <w:rsid w:val="000237AA"/>
    <w:rsid w:val="00024848"/>
    <w:rsid w:val="000249FC"/>
    <w:rsid w:val="00024AD4"/>
    <w:rsid w:val="0002572E"/>
    <w:rsid w:val="00025AC7"/>
    <w:rsid w:val="00026077"/>
    <w:rsid w:val="0002702C"/>
    <w:rsid w:val="0002745E"/>
    <w:rsid w:val="000279B3"/>
    <w:rsid w:val="00027A21"/>
    <w:rsid w:val="00027FED"/>
    <w:rsid w:val="00030602"/>
    <w:rsid w:val="00032550"/>
    <w:rsid w:val="000326B3"/>
    <w:rsid w:val="00032753"/>
    <w:rsid w:val="000344D9"/>
    <w:rsid w:val="00034736"/>
    <w:rsid w:val="000350B9"/>
    <w:rsid w:val="00035158"/>
    <w:rsid w:val="00035473"/>
    <w:rsid w:val="00035AD0"/>
    <w:rsid w:val="00036F14"/>
    <w:rsid w:val="00037555"/>
    <w:rsid w:val="000377D9"/>
    <w:rsid w:val="000378F7"/>
    <w:rsid w:val="00037BA4"/>
    <w:rsid w:val="00037C12"/>
    <w:rsid w:val="000402C0"/>
    <w:rsid w:val="000406D5"/>
    <w:rsid w:val="00040B76"/>
    <w:rsid w:val="00040E29"/>
    <w:rsid w:val="000411F7"/>
    <w:rsid w:val="00041F92"/>
    <w:rsid w:val="00041FF7"/>
    <w:rsid w:val="00042207"/>
    <w:rsid w:val="000423CE"/>
    <w:rsid w:val="00042451"/>
    <w:rsid w:val="0004286A"/>
    <w:rsid w:val="000434F3"/>
    <w:rsid w:val="0004353D"/>
    <w:rsid w:val="00043644"/>
    <w:rsid w:val="000439CF"/>
    <w:rsid w:val="00044167"/>
    <w:rsid w:val="00044665"/>
    <w:rsid w:val="00045458"/>
    <w:rsid w:val="00045832"/>
    <w:rsid w:val="0004621C"/>
    <w:rsid w:val="0004654C"/>
    <w:rsid w:val="00046D82"/>
    <w:rsid w:val="00051723"/>
    <w:rsid w:val="000524CB"/>
    <w:rsid w:val="00052CA6"/>
    <w:rsid w:val="00054C65"/>
    <w:rsid w:val="000552D5"/>
    <w:rsid w:val="000553D4"/>
    <w:rsid w:val="00055425"/>
    <w:rsid w:val="00055A18"/>
    <w:rsid w:val="00056247"/>
    <w:rsid w:val="000564B1"/>
    <w:rsid w:val="00056BE4"/>
    <w:rsid w:val="00057AF2"/>
    <w:rsid w:val="00057C6E"/>
    <w:rsid w:val="00060095"/>
    <w:rsid w:val="00060280"/>
    <w:rsid w:val="00060548"/>
    <w:rsid w:val="00060BB2"/>
    <w:rsid w:val="000613F8"/>
    <w:rsid w:val="00061C71"/>
    <w:rsid w:val="00062F90"/>
    <w:rsid w:val="0006325F"/>
    <w:rsid w:val="0006336F"/>
    <w:rsid w:val="00063EFA"/>
    <w:rsid w:val="0006415B"/>
    <w:rsid w:val="000646AD"/>
    <w:rsid w:val="00064A72"/>
    <w:rsid w:val="00064C2C"/>
    <w:rsid w:val="00065C58"/>
    <w:rsid w:val="00065FEB"/>
    <w:rsid w:val="0006602F"/>
    <w:rsid w:val="0006636A"/>
    <w:rsid w:val="0006768E"/>
    <w:rsid w:val="00070293"/>
    <w:rsid w:val="00070F05"/>
    <w:rsid w:val="00071F65"/>
    <w:rsid w:val="00072186"/>
    <w:rsid w:val="000723F6"/>
    <w:rsid w:val="000727D5"/>
    <w:rsid w:val="00072FE3"/>
    <w:rsid w:val="000735C1"/>
    <w:rsid w:val="000738A9"/>
    <w:rsid w:val="000738D4"/>
    <w:rsid w:val="0007401F"/>
    <w:rsid w:val="0007475C"/>
    <w:rsid w:val="00074A55"/>
    <w:rsid w:val="00076073"/>
    <w:rsid w:val="00077844"/>
    <w:rsid w:val="00080B00"/>
    <w:rsid w:val="00080BC9"/>
    <w:rsid w:val="00080EEA"/>
    <w:rsid w:val="0008108E"/>
    <w:rsid w:val="000814B4"/>
    <w:rsid w:val="00081EAA"/>
    <w:rsid w:val="000820B7"/>
    <w:rsid w:val="000820F1"/>
    <w:rsid w:val="00082910"/>
    <w:rsid w:val="0008355B"/>
    <w:rsid w:val="00084456"/>
    <w:rsid w:val="0008459A"/>
    <w:rsid w:val="00084700"/>
    <w:rsid w:val="00084C11"/>
    <w:rsid w:val="00084E14"/>
    <w:rsid w:val="00085359"/>
    <w:rsid w:val="00085C14"/>
    <w:rsid w:val="00086C5F"/>
    <w:rsid w:val="00086D12"/>
    <w:rsid w:val="0008707D"/>
    <w:rsid w:val="000873FC"/>
    <w:rsid w:val="000878CB"/>
    <w:rsid w:val="00087AC6"/>
    <w:rsid w:val="00090088"/>
    <w:rsid w:val="0009011C"/>
    <w:rsid w:val="0009040C"/>
    <w:rsid w:val="00090DD2"/>
    <w:rsid w:val="0009124C"/>
    <w:rsid w:val="00091CE1"/>
    <w:rsid w:val="00092575"/>
    <w:rsid w:val="0009285C"/>
    <w:rsid w:val="00092B27"/>
    <w:rsid w:val="00092ECB"/>
    <w:rsid w:val="00093AAF"/>
    <w:rsid w:val="00093C66"/>
    <w:rsid w:val="000943A6"/>
    <w:rsid w:val="000944C9"/>
    <w:rsid w:val="000958C6"/>
    <w:rsid w:val="00095D57"/>
    <w:rsid w:val="000A13EA"/>
    <w:rsid w:val="000A157C"/>
    <w:rsid w:val="000A16BB"/>
    <w:rsid w:val="000A255C"/>
    <w:rsid w:val="000A27D3"/>
    <w:rsid w:val="000A2962"/>
    <w:rsid w:val="000A3654"/>
    <w:rsid w:val="000A3A8D"/>
    <w:rsid w:val="000A43FE"/>
    <w:rsid w:val="000A5012"/>
    <w:rsid w:val="000A50A9"/>
    <w:rsid w:val="000A5B1D"/>
    <w:rsid w:val="000A5F54"/>
    <w:rsid w:val="000A6A84"/>
    <w:rsid w:val="000A6DE5"/>
    <w:rsid w:val="000A70B3"/>
    <w:rsid w:val="000A7186"/>
    <w:rsid w:val="000A76FC"/>
    <w:rsid w:val="000A775B"/>
    <w:rsid w:val="000B1178"/>
    <w:rsid w:val="000B20E0"/>
    <w:rsid w:val="000B338F"/>
    <w:rsid w:val="000B3D43"/>
    <w:rsid w:val="000B3F56"/>
    <w:rsid w:val="000B4E92"/>
    <w:rsid w:val="000B4FBB"/>
    <w:rsid w:val="000B5697"/>
    <w:rsid w:val="000B5BFB"/>
    <w:rsid w:val="000B5C36"/>
    <w:rsid w:val="000B5D01"/>
    <w:rsid w:val="000B6040"/>
    <w:rsid w:val="000B6E6B"/>
    <w:rsid w:val="000B7E33"/>
    <w:rsid w:val="000C025F"/>
    <w:rsid w:val="000C0D47"/>
    <w:rsid w:val="000C17BA"/>
    <w:rsid w:val="000C1B1F"/>
    <w:rsid w:val="000C307B"/>
    <w:rsid w:val="000C38F8"/>
    <w:rsid w:val="000C3C93"/>
    <w:rsid w:val="000C3F41"/>
    <w:rsid w:val="000C487B"/>
    <w:rsid w:val="000C4966"/>
    <w:rsid w:val="000C52BB"/>
    <w:rsid w:val="000C52E2"/>
    <w:rsid w:val="000C55F8"/>
    <w:rsid w:val="000C5F52"/>
    <w:rsid w:val="000C6936"/>
    <w:rsid w:val="000C6C10"/>
    <w:rsid w:val="000C71EB"/>
    <w:rsid w:val="000C72AD"/>
    <w:rsid w:val="000C75EA"/>
    <w:rsid w:val="000C7B42"/>
    <w:rsid w:val="000C7B89"/>
    <w:rsid w:val="000C7EE3"/>
    <w:rsid w:val="000D0210"/>
    <w:rsid w:val="000D040D"/>
    <w:rsid w:val="000D09BB"/>
    <w:rsid w:val="000D09BD"/>
    <w:rsid w:val="000D09F6"/>
    <w:rsid w:val="000D0CDF"/>
    <w:rsid w:val="000D1626"/>
    <w:rsid w:val="000D1A70"/>
    <w:rsid w:val="000D1C36"/>
    <w:rsid w:val="000D1D0E"/>
    <w:rsid w:val="000D223D"/>
    <w:rsid w:val="000D2265"/>
    <w:rsid w:val="000D3393"/>
    <w:rsid w:val="000D378A"/>
    <w:rsid w:val="000D3AEB"/>
    <w:rsid w:val="000D449E"/>
    <w:rsid w:val="000D460E"/>
    <w:rsid w:val="000D48F1"/>
    <w:rsid w:val="000D4D1F"/>
    <w:rsid w:val="000D4E21"/>
    <w:rsid w:val="000D502E"/>
    <w:rsid w:val="000D5AE4"/>
    <w:rsid w:val="000D633E"/>
    <w:rsid w:val="000D7036"/>
    <w:rsid w:val="000E02AE"/>
    <w:rsid w:val="000E0CCC"/>
    <w:rsid w:val="000E1758"/>
    <w:rsid w:val="000E275D"/>
    <w:rsid w:val="000E28A1"/>
    <w:rsid w:val="000E2E7E"/>
    <w:rsid w:val="000E35CA"/>
    <w:rsid w:val="000E3748"/>
    <w:rsid w:val="000E40F2"/>
    <w:rsid w:val="000E4305"/>
    <w:rsid w:val="000E6A82"/>
    <w:rsid w:val="000E6E54"/>
    <w:rsid w:val="000E7838"/>
    <w:rsid w:val="000F0127"/>
    <w:rsid w:val="000F0752"/>
    <w:rsid w:val="000F0E4C"/>
    <w:rsid w:val="000F12F7"/>
    <w:rsid w:val="000F17CB"/>
    <w:rsid w:val="000F18E3"/>
    <w:rsid w:val="000F200E"/>
    <w:rsid w:val="000F2E4B"/>
    <w:rsid w:val="000F379D"/>
    <w:rsid w:val="000F4522"/>
    <w:rsid w:val="000F45A8"/>
    <w:rsid w:val="000F4C3D"/>
    <w:rsid w:val="000F4E90"/>
    <w:rsid w:val="000F51D4"/>
    <w:rsid w:val="000F5222"/>
    <w:rsid w:val="000F5F89"/>
    <w:rsid w:val="000F6411"/>
    <w:rsid w:val="000F76C2"/>
    <w:rsid w:val="000F7727"/>
    <w:rsid w:val="000F7D42"/>
    <w:rsid w:val="00100122"/>
    <w:rsid w:val="00100171"/>
    <w:rsid w:val="001002A6"/>
    <w:rsid w:val="00101200"/>
    <w:rsid w:val="00101BEB"/>
    <w:rsid w:val="00102341"/>
    <w:rsid w:val="00102D03"/>
    <w:rsid w:val="00103652"/>
    <w:rsid w:val="001042DA"/>
    <w:rsid w:val="001044E1"/>
    <w:rsid w:val="001049AD"/>
    <w:rsid w:val="001055BE"/>
    <w:rsid w:val="001060B3"/>
    <w:rsid w:val="00106305"/>
    <w:rsid w:val="00106EB5"/>
    <w:rsid w:val="001078C6"/>
    <w:rsid w:val="00110CF3"/>
    <w:rsid w:val="001113A3"/>
    <w:rsid w:val="0011221F"/>
    <w:rsid w:val="001125B3"/>
    <w:rsid w:val="0011331E"/>
    <w:rsid w:val="00113B15"/>
    <w:rsid w:val="00113B5C"/>
    <w:rsid w:val="00113D1F"/>
    <w:rsid w:val="00113DEB"/>
    <w:rsid w:val="001141CC"/>
    <w:rsid w:val="001145BC"/>
    <w:rsid w:val="0011466F"/>
    <w:rsid w:val="0011483A"/>
    <w:rsid w:val="00115418"/>
    <w:rsid w:val="00115479"/>
    <w:rsid w:val="00115FE1"/>
    <w:rsid w:val="00117978"/>
    <w:rsid w:val="00117BE5"/>
    <w:rsid w:val="00117FCE"/>
    <w:rsid w:val="0012025D"/>
    <w:rsid w:val="001210D9"/>
    <w:rsid w:val="00121101"/>
    <w:rsid w:val="00121241"/>
    <w:rsid w:val="00121849"/>
    <w:rsid w:val="00121DF3"/>
    <w:rsid w:val="00123035"/>
    <w:rsid w:val="00123139"/>
    <w:rsid w:val="00123770"/>
    <w:rsid w:val="001241C0"/>
    <w:rsid w:val="00124854"/>
    <w:rsid w:val="00124B2B"/>
    <w:rsid w:val="00124E6C"/>
    <w:rsid w:val="00125054"/>
    <w:rsid w:val="00125137"/>
    <w:rsid w:val="001254DD"/>
    <w:rsid w:val="00125CF6"/>
    <w:rsid w:val="001266F0"/>
    <w:rsid w:val="00126869"/>
    <w:rsid w:val="0012691A"/>
    <w:rsid w:val="00126959"/>
    <w:rsid w:val="0012739A"/>
    <w:rsid w:val="00127569"/>
    <w:rsid w:val="00127EAF"/>
    <w:rsid w:val="00130E13"/>
    <w:rsid w:val="00131636"/>
    <w:rsid w:val="00132348"/>
    <w:rsid w:val="001326B9"/>
    <w:rsid w:val="00132A15"/>
    <w:rsid w:val="001333DF"/>
    <w:rsid w:val="001337B4"/>
    <w:rsid w:val="00133C3C"/>
    <w:rsid w:val="0013467A"/>
    <w:rsid w:val="00135F99"/>
    <w:rsid w:val="001360E2"/>
    <w:rsid w:val="001373F3"/>
    <w:rsid w:val="00137446"/>
    <w:rsid w:val="001378C7"/>
    <w:rsid w:val="00137CAB"/>
    <w:rsid w:val="00137D6E"/>
    <w:rsid w:val="00137DFF"/>
    <w:rsid w:val="00137E6F"/>
    <w:rsid w:val="00140547"/>
    <w:rsid w:val="001405E8"/>
    <w:rsid w:val="001407C7"/>
    <w:rsid w:val="001414C2"/>
    <w:rsid w:val="001422E0"/>
    <w:rsid w:val="00142352"/>
    <w:rsid w:val="00142C62"/>
    <w:rsid w:val="00143617"/>
    <w:rsid w:val="00145452"/>
    <w:rsid w:val="00145456"/>
    <w:rsid w:val="001454CE"/>
    <w:rsid w:val="00145683"/>
    <w:rsid w:val="00146BEE"/>
    <w:rsid w:val="00147110"/>
    <w:rsid w:val="001506BB"/>
    <w:rsid w:val="00150DA0"/>
    <w:rsid w:val="00151002"/>
    <w:rsid w:val="00151D69"/>
    <w:rsid w:val="00152659"/>
    <w:rsid w:val="0015308A"/>
    <w:rsid w:val="0015321E"/>
    <w:rsid w:val="001539ED"/>
    <w:rsid w:val="00154381"/>
    <w:rsid w:val="001556FF"/>
    <w:rsid w:val="0015575A"/>
    <w:rsid w:val="00155B09"/>
    <w:rsid w:val="00155C6C"/>
    <w:rsid w:val="00156614"/>
    <w:rsid w:val="001572C5"/>
    <w:rsid w:val="00157C2C"/>
    <w:rsid w:val="00160EE2"/>
    <w:rsid w:val="001610BF"/>
    <w:rsid w:val="00161D7C"/>
    <w:rsid w:val="00162E92"/>
    <w:rsid w:val="001633C9"/>
    <w:rsid w:val="001640D8"/>
    <w:rsid w:val="00164E99"/>
    <w:rsid w:val="00165D76"/>
    <w:rsid w:val="00165EE1"/>
    <w:rsid w:val="00165F25"/>
    <w:rsid w:val="00166311"/>
    <w:rsid w:val="00166773"/>
    <w:rsid w:val="00170558"/>
    <w:rsid w:val="00170DBA"/>
    <w:rsid w:val="00170DD9"/>
    <w:rsid w:val="0017107E"/>
    <w:rsid w:val="0017143E"/>
    <w:rsid w:val="00171820"/>
    <w:rsid w:val="00171893"/>
    <w:rsid w:val="001718E0"/>
    <w:rsid w:val="00171AE2"/>
    <w:rsid w:val="00171B22"/>
    <w:rsid w:val="00171B2B"/>
    <w:rsid w:val="001720A6"/>
    <w:rsid w:val="00172671"/>
    <w:rsid w:val="001729F9"/>
    <w:rsid w:val="00172A17"/>
    <w:rsid w:val="00172A27"/>
    <w:rsid w:val="00172C29"/>
    <w:rsid w:val="00173158"/>
    <w:rsid w:val="00173FF0"/>
    <w:rsid w:val="001748AC"/>
    <w:rsid w:val="00174A16"/>
    <w:rsid w:val="00174E29"/>
    <w:rsid w:val="00174FEB"/>
    <w:rsid w:val="00175A9C"/>
    <w:rsid w:val="00176763"/>
    <w:rsid w:val="0017678C"/>
    <w:rsid w:val="00176E47"/>
    <w:rsid w:val="00177037"/>
    <w:rsid w:val="001772BE"/>
    <w:rsid w:val="001772D4"/>
    <w:rsid w:val="00177685"/>
    <w:rsid w:val="00180321"/>
    <w:rsid w:val="00180336"/>
    <w:rsid w:val="00181399"/>
    <w:rsid w:val="00181744"/>
    <w:rsid w:val="00182133"/>
    <w:rsid w:val="001823E6"/>
    <w:rsid w:val="00182F54"/>
    <w:rsid w:val="00183474"/>
    <w:rsid w:val="0018484A"/>
    <w:rsid w:val="00184D15"/>
    <w:rsid w:val="00186291"/>
    <w:rsid w:val="0018634F"/>
    <w:rsid w:val="00186D1F"/>
    <w:rsid w:val="00187B86"/>
    <w:rsid w:val="00187D38"/>
    <w:rsid w:val="00187E12"/>
    <w:rsid w:val="00191F60"/>
    <w:rsid w:val="001922A5"/>
    <w:rsid w:val="0019231A"/>
    <w:rsid w:val="00192899"/>
    <w:rsid w:val="00192E40"/>
    <w:rsid w:val="0019335D"/>
    <w:rsid w:val="001938B7"/>
    <w:rsid w:val="001940F5"/>
    <w:rsid w:val="0019430C"/>
    <w:rsid w:val="00194F97"/>
    <w:rsid w:val="001954D6"/>
    <w:rsid w:val="00195953"/>
    <w:rsid w:val="00195A1C"/>
    <w:rsid w:val="00197BF9"/>
    <w:rsid w:val="001A193C"/>
    <w:rsid w:val="001A2174"/>
    <w:rsid w:val="001A27BB"/>
    <w:rsid w:val="001A2D75"/>
    <w:rsid w:val="001A2F26"/>
    <w:rsid w:val="001A3DA6"/>
    <w:rsid w:val="001A44A3"/>
    <w:rsid w:val="001A44B4"/>
    <w:rsid w:val="001A4691"/>
    <w:rsid w:val="001A5435"/>
    <w:rsid w:val="001A7455"/>
    <w:rsid w:val="001A7B2C"/>
    <w:rsid w:val="001A7E5E"/>
    <w:rsid w:val="001B06A0"/>
    <w:rsid w:val="001B1EC0"/>
    <w:rsid w:val="001B1F57"/>
    <w:rsid w:val="001B2C39"/>
    <w:rsid w:val="001B2D9A"/>
    <w:rsid w:val="001B3777"/>
    <w:rsid w:val="001B3B87"/>
    <w:rsid w:val="001B3E71"/>
    <w:rsid w:val="001B3EB0"/>
    <w:rsid w:val="001B5DB2"/>
    <w:rsid w:val="001B7204"/>
    <w:rsid w:val="001B74A9"/>
    <w:rsid w:val="001C063F"/>
    <w:rsid w:val="001C0E5E"/>
    <w:rsid w:val="001C0EE1"/>
    <w:rsid w:val="001C0FB3"/>
    <w:rsid w:val="001C141D"/>
    <w:rsid w:val="001C16D2"/>
    <w:rsid w:val="001C1D55"/>
    <w:rsid w:val="001C1E8F"/>
    <w:rsid w:val="001C2B68"/>
    <w:rsid w:val="001C37C6"/>
    <w:rsid w:val="001C3B86"/>
    <w:rsid w:val="001C3C48"/>
    <w:rsid w:val="001C3CDB"/>
    <w:rsid w:val="001C5A68"/>
    <w:rsid w:val="001C5B79"/>
    <w:rsid w:val="001C5D54"/>
    <w:rsid w:val="001C6025"/>
    <w:rsid w:val="001C616E"/>
    <w:rsid w:val="001C6D53"/>
    <w:rsid w:val="001C72EA"/>
    <w:rsid w:val="001C74EC"/>
    <w:rsid w:val="001D0BCE"/>
    <w:rsid w:val="001D0C34"/>
    <w:rsid w:val="001D0EBE"/>
    <w:rsid w:val="001D1C15"/>
    <w:rsid w:val="001D2DAA"/>
    <w:rsid w:val="001D2EEE"/>
    <w:rsid w:val="001D4AE1"/>
    <w:rsid w:val="001D5558"/>
    <w:rsid w:val="001D55D2"/>
    <w:rsid w:val="001D57C4"/>
    <w:rsid w:val="001D5A42"/>
    <w:rsid w:val="001D5D94"/>
    <w:rsid w:val="001D62EB"/>
    <w:rsid w:val="001D6582"/>
    <w:rsid w:val="001D6C11"/>
    <w:rsid w:val="001D7822"/>
    <w:rsid w:val="001D7908"/>
    <w:rsid w:val="001E00F5"/>
    <w:rsid w:val="001E043E"/>
    <w:rsid w:val="001E0844"/>
    <w:rsid w:val="001E0F3A"/>
    <w:rsid w:val="001E0FBF"/>
    <w:rsid w:val="001E2EE5"/>
    <w:rsid w:val="001E2F81"/>
    <w:rsid w:val="001E324D"/>
    <w:rsid w:val="001E3C00"/>
    <w:rsid w:val="001E3FF3"/>
    <w:rsid w:val="001E4AB8"/>
    <w:rsid w:val="001E4F65"/>
    <w:rsid w:val="001E6185"/>
    <w:rsid w:val="001E6249"/>
    <w:rsid w:val="001E6B9C"/>
    <w:rsid w:val="001F0542"/>
    <w:rsid w:val="001F05BA"/>
    <w:rsid w:val="001F0761"/>
    <w:rsid w:val="001F0A8B"/>
    <w:rsid w:val="001F1CB0"/>
    <w:rsid w:val="001F2F59"/>
    <w:rsid w:val="001F32EE"/>
    <w:rsid w:val="001F3535"/>
    <w:rsid w:val="001F3905"/>
    <w:rsid w:val="001F3A48"/>
    <w:rsid w:val="001F424D"/>
    <w:rsid w:val="001F43A4"/>
    <w:rsid w:val="001F4C55"/>
    <w:rsid w:val="001F4EA5"/>
    <w:rsid w:val="001F4EB8"/>
    <w:rsid w:val="001F4EED"/>
    <w:rsid w:val="001F534A"/>
    <w:rsid w:val="001F5371"/>
    <w:rsid w:val="001F569E"/>
    <w:rsid w:val="001F619C"/>
    <w:rsid w:val="001F632E"/>
    <w:rsid w:val="001F67AB"/>
    <w:rsid w:val="001F6C70"/>
    <w:rsid w:val="001F759B"/>
    <w:rsid w:val="001F7756"/>
    <w:rsid w:val="00200C5B"/>
    <w:rsid w:val="00200D2C"/>
    <w:rsid w:val="002016E2"/>
    <w:rsid w:val="00201733"/>
    <w:rsid w:val="002024B3"/>
    <w:rsid w:val="002026D9"/>
    <w:rsid w:val="00202CC7"/>
    <w:rsid w:val="002039C7"/>
    <w:rsid w:val="00204109"/>
    <w:rsid w:val="0020453B"/>
    <w:rsid w:val="002047D1"/>
    <w:rsid w:val="002048FD"/>
    <w:rsid w:val="002050E9"/>
    <w:rsid w:val="00205138"/>
    <w:rsid w:val="002059D1"/>
    <w:rsid w:val="0020634C"/>
    <w:rsid w:val="0020645B"/>
    <w:rsid w:val="002070E6"/>
    <w:rsid w:val="00207310"/>
    <w:rsid w:val="0021036C"/>
    <w:rsid w:val="00210798"/>
    <w:rsid w:val="00210908"/>
    <w:rsid w:val="00210E15"/>
    <w:rsid w:val="002118D4"/>
    <w:rsid w:val="002124E4"/>
    <w:rsid w:val="00212558"/>
    <w:rsid w:val="00212601"/>
    <w:rsid w:val="002127DB"/>
    <w:rsid w:val="00212C25"/>
    <w:rsid w:val="00212FC5"/>
    <w:rsid w:val="00213C00"/>
    <w:rsid w:val="00214181"/>
    <w:rsid w:val="00214332"/>
    <w:rsid w:val="00214BE7"/>
    <w:rsid w:val="00214E00"/>
    <w:rsid w:val="00215672"/>
    <w:rsid w:val="002160B8"/>
    <w:rsid w:val="0021692D"/>
    <w:rsid w:val="00217148"/>
    <w:rsid w:val="00217645"/>
    <w:rsid w:val="002210DE"/>
    <w:rsid w:val="00222BB2"/>
    <w:rsid w:val="00222E7C"/>
    <w:rsid w:val="0022302E"/>
    <w:rsid w:val="0022400A"/>
    <w:rsid w:val="002241A3"/>
    <w:rsid w:val="00224568"/>
    <w:rsid w:val="00224B55"/>
    <w:rsid w:val="00224BE2"/>
    <w:rsid w:val="00225ABC"/>
    <w:rsid w:val="002279FF"/>
    <w:rsid w:val="002301AD"/>
    <w:rsid w:val="00230850"/>
    <w:rsid w:val="002308DD"/>
    <w:rsid w:val="002316D1"/>
    <w:rsid w:val="0023296B"/>
    <w:rsid w:val="00232AFA"/>
    <w:rsid w:val="00233926"/>
    <w:rsid w:val="00233C9B"/>
    <w:rsid w:val="00233DB7"/>
    <w:rsid w:val="002351AF"/>
    <w:rsid w:val="00235CF5"/>
    <w:rsid w:val="00235E40"/>
    <w:rsid w:val="00236650"/>
    <w:rsid w:val="002368C9"/>
    <w:rsid w:val="00236DEC"/>
    <w:rsid w:val="002371A7"/>
    <w:rsid w:val="002375EE"/>
    <w:rsid w:val="00237BB8"/>
    <w:rsid w:val="00237D57"/>
    <w:rsid w:val="00237F53"/>
    <w:rsid w:val="002401F5"/>
    <w:rsid w:val="00240375"/>
    <w:rsid w:val="0024055A"/>
    <w:rsid w:val="00240821"/>
    <w:rsid w:val="0024136C"/>
    <w:rsid w:val="002415BC"/>
    <w:rsid w:val="002419D9"/>
    <w:rsid w:val="00241A3D"/>
    <w:rsid w:val="002428BF"/>
    <w:rsid w:val="0024324B"/>
    <w:rsid w:val="002436A2"/>
    <w:rsid w:val="002437BC"/>
    <w:rsid w:val="00243DF1"/>
    <w:rsid w:val="0024424D"/>
    <w:rsid w:val="002447F7"/>
    <w:rsid w:val="00244E4C"/>
    <w:rsid w:val="00244FBB"/>
    <w:rsid w:val="002453B3"/>
    <w:rsid w:val="00245419"/>
    <w:rsid w:val="0024543A"/>
    <w:rsid w:val="002458FB"/>
    <w:rsid w:val="002462E9"/>
    <w:rsid w:val="002468AD"/>
    <w:rsid w:val="00246E71"/>
    <w:rsid w:val="0024709B"/>
    <w:rsid w:val="002471F8"/>
    <w:rsid w:val="0024720C"/>
    <w:rsid w:val="00250306"/>
    <w:rsid w:val="00250440"/>
    <w:rsid w:val="0025077A"/>
    <w:rsid w:val="00250FAC"/>
    <w:rsid w:val="00251811"/>
    <w:rsid w:val="00252725"/>
    <w:rsid w:val="002535A4"/>
    <w:rsid w:val="00253D8B"/>
    <w:rsid w:val="00254563"/>
    <w:rsid w:val="0025552C"/>
    <w:rsid w:val="0025604D"/>
    <w:rsid w:val="002568AE"/>
    <w:rsid w:val="002568B3"/>
    <w:rsid w:val="00256A0D"/>
    <w:rsid w:val="0025721D"/>
    <w:rsid w:val="002575B1"/>
    <w:rsid w:val="002604F6"/>
    <w:rsid w:val="00260799"/>
    <w:rsid w:val="00260B72"/>
    <w:rsid w:val="00260D4C"/>
    <w:rsid w:val="00262533"/>
    <w:rsid w:val="00262837"/>
    <w:rsid w:val="00263158"/>
    <w:rsid w:val="00263E5D"/>
    <w:rsid w:val="00265232"/>
    <w:rsid w:val="00265936"/>
    <w:rsid w:val="00265D24"/>
    <w:rsid w:val="00265EFC"/>
    <w:rsid w:val="00266004"/>
    <w:rsid w:val="00266948"/>
    <w:rsid w:val="0027209C"/>
    <w:rsid w:val="0027229F"/>
    <w:rsid w:val="00272411"/>
    <w:rsid w:val="00272C73"/>
    <w:rsid w:val="00272D90"/>
    <w:rsid w:val="0027419E"/>
    <w:rsid w:val="002742A4"/>
    <w:rsid w:val="002748B9"/>
    <w:rsid w:val="0027494A"/>
    <w:rsid w:val="00275289"/>
    <w:rsid w:val="00276CDC"/>
    <w:rsid w:val="00276EA8"/>
    <w:rsid w:val="00277A19"/>
    <w:rsid w:val="00280465"/>
    <w:rsid w:val="00280649"/>
    <w:rsid w:val="002807E5"/>
    <w:rsid w:val="00281BE9"/>
    <w:rsid w:val="002824AE"/>
    <w:rsid w:val="002824E3"/>
    <w:rsid w:val="0028277E"/>
    <w:rsid w:val="00282AF4"/>
    <w:rsid w:val="002831B6"/>
    <w:rsid w:val="002833B9"/>
    <w:rsid w:val="00283A6F"/>
    <w:rsid w:val="0028513F"/>
    <w:rsid w:val="00286F05"/>
    <w:rsid w:val="00287879"/>
    <w:rsid w:val="00287942"/>
    <w:rsid w:val="00287E52"/>
    <w:rsid w:val="00287ED0"/>
    <w:rsid w:val="00290186"/>
    <w:rsid w:val="002905B5"/>
    <w:rsid w:val="00290725"/>
    <w:rsid w:val="00290CD9"/>
    <w:rsid w:val="00290D0D"/>
    <w:rsid w:val="00290DCF"/>
    <w:rsid w:val="00290DE4"/>
    <w:rsid w:val="00290F5E"/>
    <w:rsid w:val="002912F4"/>
    <w:rsid w:val="002921C1"/>
    <w:rsid w:val="00292469"/>
    <w:rsid w:val="00292F22"/>
    <w:rsid w:val="00293373"/>
    <w:rsid w:val="002937AE"/>
    <w:rsid w:val="00293CAB"/>
    <w:rsid w:val="002942C5"/>
    <w:rsid w:val="00294718"/>
    <w:rsid w:val="00294886"/>
    <w:rsid w:val="00294C1E"/>
    <w:rsid w:val="002954A7"/>
    <w:rsid w:val="00296634"/>
    <w:rsid w:val="0029679A"/>
    <w:rsid w:val="002967C5"/>
    <w:rsid w:val="00296BF6"/>
    <w:rsid w:val="00296CFC"/>
    <w:rsid w:val="00297B20"/>
    <w:rsid w:val="002A0A3F"/>
    <w:rsid w:val="002A0AA5"/>
    <w:rsid w:val="002A15DD"/>
    <w:rsid w:val="002A18FB"/>
    <w:rsid w:val="002A1EBC"/>
    <w:rsid w:val="002A1FF8"/>
    <w:rsid w:val="002A29C0"/>
    <w:rsid w:val="002A2C25"/>
    <w:rsid w:val="002A32FF"/>
    <w:rsid w:val="002A373B"/>
    <w:rsid w:val="002A421B"/>
    <w:rsid w:val="002A429A"/>
    <w:rsid w:val="002A4D72"/>
    <w:rsid w:val="002A5AAB"/>
    <w:rsid w:val="002A6029"/>
    <w:rsid w:val="002A6183"/>
    <w:rsid w:val="002A6387"/>
    <w:rsid w:val="002A67B5"/>
    <w:rsid w:val="002A6B29"/>
    <w:rsid w:val="002A7084"/>
    <w:rsid w:val="002A7125"/>
    <w:rsid w:val="002A722E"/>
    <w:rsid w:val="002A756D"/>
    <w:rsid w:val="002B0134"/>
    <w:rsid w:val="002B04D4"/>
    <w:rsid w:val="002B174A"/>
    <w:rsid w:val="002B1A9E"/>
    <w:rsid w:val="002B1C6E"/>
    <w:rsid w:val="002B210E"/>
    <w:rsid w:val="002B28E8"/>
    <w:rsid w:val="002B3896"/>
    <w:rsid w:val="002B4A40"/>
    <w:rsid w:val="002B5918"/>
    <w:rsid w:val="002B690E"/>
    <w:rsid w:val="002B6977"/>
    <w:rsid w:val="002B6D65"/>
    <w:rsid w:val="002B754C"/>
    <w:rsid w:val="002C0315"/>
    <w:rsid w:val="002C0351"/>
    <w:rsid w:val="002C0A96"/>
    <w:rsid w:val="002C0B45"/>
    <w:rsid w:val="002C0DC9"/>
    <w:rsid w:val="002C0F1E"/>
    <w:rsid w:val="002C12E4"/>
    <w:rsid w:val="002C1BBA"/>
    <w:rsid w:val="002C1CCA"/>
    <w:rsid w:val="002C24A9"/>
    <w:rsid w:val="002C2710"/>
    <w:rsid w:val="002C2CFD"/>
    <w:rsid w:val="002C2E16"/>
    <w:rsid w:val="002C476C"/>
    <w:rsid w:val="002C4A03"/>
    <w:rsid w:val="002C4E6C"/>
    <w:rsid w:val="002C5253"/>
    <w:rsid w:val="002C55B6"/>
    <w:rsid w:val="002C5709"/>
    <w:rsid w:val="002C57EC"/>
    <w:rsid w:val="002C6076"/>
    <w:rsid w:val="002C6433"/>
    <w:rsid w:val="002C6476"/>
    <w:rsid w:val="002C652A"/>
    <w:rsid w:val="002D0255"/>
    <w:rsid w:val="002D0743"/>
    <w:rsid w:val="002D0D56"/>
    <w:rsid w:val="002D0F18"/>
    <w:rsid w:val="002D1A0C"/>
    <w:rsid w:val="002D21C0"/>
    <w:rsid w:val="002D259C"/>
    <w:rsid w:val="002D260D"/>
    <w:rsid w:val="002D2EE6"/>
    <w:rsid w:val="002D4251"/>
    <w:rsid w:val="002D66FE"/>
    <w:rsid w:val="002D6D43"/>
    <w:rsid w:val="002D6D9E"/>
    <w:rsid w:val="002D6DCB"/>
    <w:rsid w:val="002D6EFA"/>
    <w:rsid w:val="002D7592"/>
    <w:rsid w:val="002D77F6"/>
    <w:rsid w:val="002E082F"/>
    <w:rsid w:val="002E0B45"/>
    <w:rsid w:val="002E0E25"/>
    <w:rsid w:val="002E0FC4"/>
    <w:rsid w:val="002E1567"/>
    <w:rsid w:val="002E176B"/>
    <w:rsid w:val="002E1D06"/>
    <w:rsid w:val="002E2DF3"/>
    <w:rsid w:val="002E2E53"/>
    <w:rsid w:val="002E3319"/>
    <w:rsid w:val="002E340D"/>
    <w:rsid w:val="002E378D"/>
    <w:rsid w:val="002E3A86"/>
    <w:rsid w:val="002E4F6D"/>
    <w:rsid w:val="002E556D"/>
    <w:rsid w:val="002E5F51"/>
    <w:rsid w:val="002E653A"/>
    <w:rsid w:val="002E671D"/>
    <w:rsid w:val="002E6857"/>
    <w:rsid w:val="002E6947"/>
    <w:rsid w:val="002E71A9"/>
    <w:rsid w:val="002E7597"/>
    <w:rsid w:val="002E7C6D"/>
    <w:rsid w:val="002E7F15"/>
    <w:rsid w:val="002F0C11"/>
    <w:rsid w:val="002F1830"/>
    <w:rsid w:val="002F2691"/>
    <w:rsid w:val="002F2F69"/>
    <w:rsid w:val="002F373D"/>
    <w:rsid w:val="002F3A7B"/>
    <w:rsid w:val="002F41B4"/>
    <w:rsid w:val="002F4253"/>
    <w:rsid w:val="002F49FE"/>
    <w:rsid w:val="002F4D53"/>
    <w:rsid w:val="002F4E19"/>
    <w:rsid w:val="002F519F"/>
    <w:rsid w:val="002F5DB4"/>
    <w:rsid w:val="002F6305"/>
    <w:rsid w:val="002F6D1C"/>
    <w:rsid w:val="002F7236"/>
    <w:rsid w:val="002F768D"/>
    <w:rsid w:val="00300C80"/>
    <w:rsid w:val="003010DA"/>
    <w:rsid w:val="003019A1"/>
    <w:rsid w:val="0030292C"/>
    <w:rsid w:val="00302EE9"/>
    <w:rsid w:val="0030338F"/>
    <w:rsid w:val="0030445A"/>
    <w:rsid w:val="003048E2"/>
    <w:rsid w:val="00304B97"/>
    <w:rsid w:val="00304D15"/>
    <w:rsid w:val="00305A19"/>
    <w:rsid w:val="00305B2B"/>
    <w:rsid w:val="00307331"/>
    <w:rsid w:val="00307BB4"/>
    <w:rsid w:val="00310A99"/>
    <w:rsid w:val="00310F4F"/>
    <w:rsid w:val="00310F60"/>
    <w:rsid w:val="003119A2"/>
    <w:rsid w:val="00311B65"/>
    <w:rsid w:val="0031278D"/>
    <w:rsid w:val="00312AA9"/>
    <w:rsid w:val="00312B7A"/>
    <w:rsid w:val="0031474E"/>
    <w:rsid w:val="003150F5"/>
    <w:rsid w:val="0031511B"/>
    <w:rsid w:val="00315479"/>
    <w:rsid w:val="003154CE"/>
    <w:rsid w:val="003159D6"/>
    <w:rsid w:val="00315AC0"/>
    <w:rsid w:val="00315ED7"/>
    <w:rsid w:val="003166E8"/>
    <w:rsid w:val="00316CE6"/>
    <w:rsid w:val="00316EE1"/>
    <w:rsid w:val="0031703C"/>
    <w:rsid w:val="003171D5"/>
    <w:rsid w:val="00317E22"/>
    <w:rsid w:val="00321152"/>
    <w:rsid w:val="003212BA"/>
    <w:rsid w:val="00321342"/>
    <w:rsid w:val="003213E6"/>
    <w:rsid w:val="00321418"/>
    <w:rsid w:val="00321C50"/>
    <w:rsid w:val="003221A5"/>
    <w:rsid w:val="003225E2"/>
    <w:rsid w:val="00322D99"/>
    <w:rsid w:val="0032355A"/>
    <w:rsid w:val="003244E2"/>
    <w:rsid w:val="00324ED2"/>
    <w:rsid w:val="00325EFA"/>
    <w:rsid w:val="00325F7F"/>
    <w:rsid w:val="0032617F"/>
    <w:rsid w:val="00326AFE"/>
    <w:rsid w:val="003272B8"/>
    <w:rsid w:val="00327AE1"/>
    <w:rsid w:val="00327E43"/>
    <w:rsid w:val="00327FB9"/>
    <w:rsid w:val="00330016"/>
    <w:rsid w:val="00331948"/>
    <w:rsid w:val="00331E33"/>
    <w:rsid w:val="00332D60"/>
    <w:rsid w:val="0033359D"/>
    <w:rsid w:val="00333D39"/>
    <w:rsid w:val="00334104"/>
    <w:rsid w:val="00334291"/>
    <w:rsid w:val="0033437A"/>
    <w:rsid w:val="00334B2A"/>
    <w:rsid w:val="0033585C"/>
    <w:rsid w:val="00335DE6"/>
    <w:rsid w:val="003360D0"/>
    <w:rsid w:val="00336720"/>
    <w:rsid w:val="00340779"/>
    <w:rsid w:val="00340B3C"/>
    <w:rsid w:val="00340F10"/>
    <w:rsid w:val="00341058"/>
    <w:rsid w:val="00341B9A"/>
    <w:rsid w:val="0034256E"/>
    <w:rsid w:val="00342FA8"/>
    <w:rsid w:val="0034329B"/>
    <w:rsid w:val="0034355C"/>
    <w:rsid w:val="00344AB2"/>
    <w:rsid w:val="0034596D"/>
    <w:rsid w:val="00345D13"/>
    <w:rsid w:val="0034656E"/>
    <w:rsid w:val="00346A10"/>
    <w:rsid w:val="00347558"/>
    <w:rsid w:val="00347696"/>
    <w:rsid w:val="00347BD3"/>
    <w:rsid w:val="00350196"/>
    <w:rsid w:val="00350615"/>
    <w:rsid w:val="00350D33"/>
    <w:rsid w:val="0035176A"/>
    <w:rsid w:val="003527BD"/>
    <w:rsid w:val="00353A0B"/>
    <w:rsid w:val="00353DC7"/>
    <w:rsid w:val="00353FA8"/>
    <w:rsid w:val="0035467F"/>
    <w:rsid w:val="00354738"/>
    <w:rsid w:val="00354E19"/>
    <w:rsid w:val="00354F86"/>
    <w:rsid w:val="00355747"/>
    <w:rsid w:val="00356ED6"/>
    <w:rsid w:val="00357429"/>
    <w:rsid w:val="00357754"/>
    <w:rsid w:val="0035794E"/>
    <w:rsid w:val="00357A5F"/>
    <w:rsid w:val="00360989"/>
    <w:rsid w:val="00360C7E"/>
    <w:rsid w:val="003613F9"/>
    <w:rsid w:val="003617F4"/>
    <w:rsid w:val="00361AFB"/>
    <w:rsid w:val="00361DE2"/>
    <w:rsid w:val="003623D7"/>
    <w:rsid w:val="003623F6"/>
    <w:rsid w:val="00362EDD"/>
    <w:rsid w:val="00363608"/>
    <w:rsid w:val="00363ABB"/>
    <w:rsid w:val="00365925"/>
    <w:rsid w:val="003664EC"/>
    <w:rsid w:val="00366669"/>
    <w:rsid w:val="00366805"/>
    <w:rsid w:val="0036683C"/>
    <w:rsid w:val="003672FB"/>
    <w:rsid w:val="00367997"/>
    <w:rsid w:val="00367D76"/>
    <w:rsid w:val="00370004"/>
    <w:rsid w:val="003705E0"/>
    <w:rsid w:val="0037085B"/>
    <w:rsid w:val="00370985"/>
    <w:rsid w:val="00371B80"/>
    <w:rsid w:val="00371C21"/>
    <w:rsid w:val="00371F97"/>
    <w:rsid w:val="003723C1"/>
    <w:rsid w:val="00372434"/>
    <w:rsid w:val="003724A4"/>
    <w:rsid w:val="0037291D"/>
    <w:rsid w:val="0037341E"/>
    <w:rsid w:val="003744CF"/>
    <w:rsid w:val="003745CA"/>
    <w:rsid w:val="003748EB"/>
    <w:rsid w:val="00374945"/>
    <w:rsid w:val="00374ABC"/>
    <w:rsid w:val="00374D87"/>
    <w:rsid w:val="003752F2"/>
    <w:rsid w:val="00375378"/>
    <w:rsid w:val="00375958"/>
    <w:rsid w:val="003767DE"/>
    <w:rsid w:val="00376CEA"/>
    <w:rsid w:val="0037715A"/>
    <w:rsid w:val="00377FAF"/>
    <w:rsid w:val="00380537"/>
    <w:rsid w:val="00380C2E"/>
    <w:rsid w:val="0038122E"/>
    <w:rsid w:val="00381906"/>
    <w:rsid w:val="00381A5F"/>
    <w:rsid w:val="00381E7A"/>
    <w:rsid w:val="00382261"/>
    <w:rsid w:val="00382A17"/>
    <w:rsid w:val="00382C17"/>
    <w:rsid w:val="00383333"/>
    <w:rsid w:val="003844D6"/>
    <w:rsid w:val="00384C9C"/>
    <w:rsid w:val="003855C2"/>
    <w:rsid w:val="003857CA"/>
    <w:rsid w:val="00385FC7"/>
    <w:rsid w:val="003867DC"/>
    <w:rsid w:val="003868E5"/>
    <w:rsid w:val="003871A5"/>
    <w:rsid w:val="00387246"/>
    <w:rsid w:val="00387407"/>
    <w:rsid w:val="003877F4"/>
    <w:rsid w:val="00387F61"/>
    <w:rsid w:val="00390B2E"/>
    <w:rsid w:val="00390DDB"/>
    <w:rsid w:val="003927E5"/>
    <w:rsid w:val="003929A3"/>
    <w:rsid w:val="00392B76"/>
    <w:rsid w:val="00392BB0"/>
    <w:rsid w:val="00393A45"/>
    <w:rsid w:val="00393F68"/>
    <w:rsid w:val="00394F80"/>
    <w:rsid w:val="003952D4"/>
    <w:rsid w:val="003958A0"/>
    <w:rsid w:val="00395A82"/>
    <w:rsid w:val="00395E2E"/>
    <w:rsid w:val="00396B23"/>
    <w:rsid w:val="003972F7"/>
    <w:rsid w:val="00397882"/>
    <w:rsid w:val="003A0E9C"/>
    <w:rsid w:val="003A1239"/>
    <w:rsid w:val="003A13CA"/>
    <w:rsid w:val="003A16F7"/>
    <w:rsid w:val="003A1FBB"/>
    <w:rsid w:val="003A2F25"/>
    <w:rsid w:val="003A39D1"/>
    <w:rsid w:val="003A41D0"/>
    <w:rsid w:val="003A4609"/>
    <w:rsid w:val="003A4A92"/>
    <w:rsid w:val="003A4BE7"/>
    <w:rsid w:val="003A4F5B"/>
    <w:rsid w:val="003A4FE2"/>
    <w:rsid w:val="003A5435"/>
    <w:rsid w:val="003A5925"/>
    <w:rsid w:val="003A5EC7"/>
    <w:rsid w:val="003A6C8F"/>
    <w:rsid w:val="003A71A1"/>
    <w:rsid w:val="003A7A10"/>
    <w:rsid w:val="003A7A82"/>
    <w:rsid w:val="003A7FD3"/>
    <w:rsid w:val="003B017D"/>
    <w:rsid w:val="003B0CB4"/>
    <w:rsid w:val="003B1049"/>
    <w:rsid w:val="003B14FD"/>
    <w:rsid w:val="003B2530"/>
    <w:rsid w:val="003B266B"/>
    <w:rsid w:val="003B26F2"/>
    <w:rsid w:val="003B286B"/>
    <w:rsid w:val="003B28E4"/>
    <w:rsid w:val="003B31F9"/>
    <w:rsid w:val="003B3332"/>
    <w:rsid w:val="003B3349"/>
    <w:rsid w:val="003B3C42"/>
    <w:rsid w:val="003B3DC4"/>
    <w:rsid w:val="003B3F44"/>
    <w:rsid w:val="003B4134"/>
    <w:rsid w:val="003B41AB"/>
    <w:rsid w:val="003B4EA2"/>
    <w:rsid w:val="003B4FE9"/>
    <w:rsid w:val="003B5068"/>
    <w:rsid w:val="003B558D"/>
    <w:rsid w:val="003B5997"/>
    <w:rsid w:val="003B67D9"/>
    <w:rsid w:val="003B6D7D"/>
    <w:rsid w:val="003C0308"/>
    <w:rsid w:val="003C0B59"/>
    <w:rsid w:val="003C1046"/>
    <w:rsid w:val="003C1116"/>
    <w:rsid w:val="003C1F93"/>
    <w:rsid w:val="003C2096"/>
    <w:rsid w:val="003C26D5"/>
    <w:rsid w:val="003C34DE"/>
    <w:rsid w:val="003C3743"/>
    <w:rsid w:val="003C4EAF"/>
    <w:rsid w:val="003C5938"/>
    <w:rsid w:val="003C5FBE"/>
    <w:rsid w:val="003C635D"/>
    <w:rsid w:val="003C64BD"/>
    <w:rsid w:val="003C66B8"/>
    <w:rsid w:val="003C6B55"/>
    <w:rsid w:val="003C78CC"/>
    <w:rsid w:val="003C7B23"/>
    <w:rsid w:val="003D09C4"/>
    <w:rsid w:val="003D1064"/>
    <w:rsid w:val="003D1AF6"/>
    <w:rsid w:val="003D1E7B"/>
    <w:rsid w:val="003D1EE1"/>
    <w:rsid w:val="003D1F36"/>
    <w:rsid w:val="003D1F6F"/>
    <w:rsid w:val="003D2527"/>
    <w:rsid w:val="003D27AA"/>
    <w:rsid w:val="003D2F9E"/>
    <w:rsid w:val="003D42E8"/>
    <w:rsid w:val="003D44D9"/>
    <w:rsid w:val="003D48E9"/>
    <w:rsid w:val="003D4CBD"/>
    <w:rsid w:val="003D50E9"/>
    <w:rsid w:val="003D5758"/>
    <w:rsid w:val="003D5F33"/>
    <w:rsid w:val="003D6054"/>
    <w:rsid w:val="003D65C9"/>
    <w:rsid w:val="003D6C07"/>
    <w:rsid w:val="003D6E8B"/>
    <w:rsid w:val="003D7CAB"/>
    <w:rsid w:val="003E0A49"/>
    <w:rsid w:val="003E1572"/>
    <w:rsid w:val="003E1C52"/>
    <w:rsid w:val="003E2098"/>
    <w:rsid w:val="003E3018"/>
    <w:rsid w:val="003E30CA"/>
    <w:rsid w:val="003E4583"/>
    <w:rsid w:val="003E4B24"/>
    <w:rsid w:val="003E4EEF"/>
    <w:rsid w:val="003E4F05"/>
    <w:rsid w:val="003E5030"/>
    <w:rsid w:val="003E5373"/>
    <w:rsid w:val="003E5686"/>
    <w:rsid w:val="003E5C3A"/>
    <w:rsid w:val="003E61C6"/>
    <w:rsid w:val="003E6BEF"/>
    <w:rsid w:val="003E6F7B"/>
    <w:rsid w:val="003E7001"/>
    <w:rsid w:val="003E7617"/>
    <w:rsid w:val="003E7712"/>
    <w:rsid w:val="003E799D"/>
    <w:rsid w:val="003F0AB5"/>
    <w:rsid w:val="003F0B01"/>
    <w:rsid w:val="003F0C7A"/>
    <w:rsid w:val="003F10DD"/>
    <w:rsid w:val="003F1569"/>
    <w:rsid w:val="003F28AF"/>
    <w:rsid w:val="003F345C"/>
    <w:rsid w:val="003F3505"/>
    <w:rsid w:val="003F382A"/>
    <w:rsid w:val="003F3A8A"/>
    <w:rsid w:val="003F3B9C"/>
    <w:rsid w:val="003F3D50"/>
    <w:rsid w:val="003F3ECE"/>
    <w:rsid w:val="003F3F26"/>
    <w:rsid w:val="003F3FF8"/>
    <w:rsid w:val="003F4022"/>
    <w:rsid w:val="003F40BD"/>
    <w:rsid w:val="003F41AE"/>
    <w:rsid w:val="003F490C"/>
    <w:rsid w:val="003F4C59"/>
    <w:rsid w:val="003F684A"/>
    <w:rsid w:val="003F6915"/>
    <w:rsid w:val="003F6F77"/>
    <w:rsid w:val="003F7705"/>
    <w:rsid w:val="0040011D"/>
    <w:rsid w:val="00400EA2"/>
    <w:rsid w:val="00401848"/>
    <w:rsid w:val="00401869"/>
    <w:rsid w:val="00401C75"/>
    <w:rsid w:val="00401C80"/>
    <w:rsid w:val="00402483"/>
    <w:rsid w:val="00402B56"/>
    <w:rsid w:val="00403287"/>
    <w:rsid w:val="00403BE3"/>
    <w:rsid w:val="00403E53"/>
    <w:rsid w:val="00403F59"/>
    <w:rsid w:val="00404331"/>
    <w:rsid w:val="0040475E"/>
    <w:rsid w:val="0040682E"/>
    <w:rsid w:val="00406B3F"/>
    <w:rsid w:val="00406B59"/>
    <w:rsid w:val="00407393"/>
    <w:rsid w:val="00407A0B"/>
    <w:rsid w:val="00410E7A"/>
    <w:rsid w:val="00410F4C"/>
    <w:rsid w:val="00411184"/>
    <w:rsid w:val="0041168F"/>
    <w:rsid w:val="004119D4"/>
    <w:rsid w:val="00411ABA"/>
    <w:rsid w:val="00411E96"/>
    <w:rsid w:val="004126B0"/>
    <w:rsid w:val="00412839"/>
    <w:rsid w:val="00413378"/>
    <w:rsid w:val="0041375E"/>
    <w:rsid w:val="00413876"/>
    <w:rsid w:val="0041431D"/>
    <w:rsid w:val="004143F5"/>
    <w:rsid w:val="00414F99"/>
    <w:rsid w:val="00415362"/>
    <w:rsid w:val="0041596E"/>
    <w:rsid w:val="00415D40"/>
    <w:rsid w:val="0041631D"/>
    <w:rsid w:val="004163C9"/>
    <w:rsid w:val="00416A3E"/>
    <w:rsid w:val="00417922"/>
    <w:rsid w:val="00420086"/>
    <w:rsid w:val="004205F4"/>
    <w:rsid w:val="004208CD"/>
    <w:rsid w:val="00421D6C"/>
    <w:rsid w:val="004225D3"/>
    <w:rsid w:val="00423B3E"/>
    <w:rsid w:val="00424219"/>
    <w:rsid w:val="00424A56"/>
    <w:rsid w:val="00424B89"/>
    <w:rsid w:val="00424BF7"/>
    <w:rsid w:val="004253D3"/>
    <w:rsid w:val="004259DC"/>
    <w:rsid w:val="00425D11"/>
    <w:rsid w:val="0042642B"/>
    <w:rsid w:val="00426510"/>
    <w:rsid w:val="00426B8E"/>
    <w:rsid w:val="00427402"/>
    <w:rsid w:val="00427575"/>
    <w:rsid w:val="00427A15"/>
    <w:rsid w:val="00430A2A"/>
    <w:rsid w:val="00430FD5"/>
    <w:rsid w:val="00431FF2"/>
    <w:rsid w:val="004322CB"/>
    <w:rsid w:val="00432677"/>
    <w:rsid w:val="0043286D"/>
    <w:rsid w:val="00432ACA"/>
    <w:rsid w:val="004336A6"/>
    <w:rsid w:val="0043370F"/>
    <w:rsid w:val="00433B4C"/>
    <w:rsid w:val="00434353"/>
    <w:rsid w:val="004344AB"/>
    <w:rsid w:val="004349D4"/>
    <w:rsid w:val="004353F9"/>
    <w:rsid w:val="004361EE"/>
    <w:rsid w:val="004362F1"/>
    <w:rsid w:val="00436B5E"/>
    <w:rsid w:val="004373BD"/>
    <w:rsid w:val="00437540"/>
    <w:rsid w:val="00437E6B"/>
    <w:rsid w:val="00440112"/>
    <w:rsid w:val="004403A2"/>
    <w:rsid w:val="00440A69"/>
    <w:rsid w:val="004413CF"/>
    <w:rsid w:val="004414A7"/>
    <w:rsid w:val="0044189A"/>
    <w:rsid w:val="00441B2B"/>
    <w:rsid w:val="00442715"/>
    <w:rsid w:val="004431D4"/>
    <w:rsid w:val="004438BB"/>
    <w:rsid w:val="00443A92"/>
    <w:rsid w:val="00443C6D"/>
    <w:rsid w:val="00443DF1"/>
    <w:rsid w:val="00444507"/>
    <w:rsid w:val="004448A9"/>
    <w:rsid w:val="004449CA"/>
    <w:rsid w:val="00444AB4"/>
    <w:rsid w:val="004460C4"/>
    <w:rsid w:val="0044644C"/>
    <w:rsid w:val="00446E6F"/>
    <w:rsid w:val="004507BA"/>
    <w:rsid w:val="00451850"/>
    <w:rsid w:val="00451A21"/>
    <w:rsid w:val="00451D38"/>
    <w:rsid w:val="004525DE"/>
    <w:rsid w:val="00452921"/>
    <w:rsid w:val="00454428"/>
    <w:rsid w:val="00454CC0"/>
    <w:rsid w:val="00455D5D"/>
    <w:rsid w:val="00455E4F"/>
    <w:rsid w:val="00456178"/>
    <w:rsid w:val="0045686E"/>
    <w:rsid w:val="00456888"/>
    <w:rsid w:val="00456CED"/>
    <w:rsid w:val="00456E8B"/>
    <w:rsid w:val="00456FDB"/>
    <w:rsid w:val="00457121"/>
    <w:rsid w:val="00460B78"/>
    <w:rsid w:val="00460E70"/>
    <w:rsid w:val="00461A54"/>
    <w:rsid w:val="00461AF7"/>
    <w:rsid w:val="0046254E"/>
    <w:rsid w:val="004626DE"/>
    <w:rsid w:val="00462705"/>
    <w:rsid w:val="00462E54"/>
    <w:rsid w:val="004639BC"/>
    <w:rsid w:val="0046442A"/>
    <w:rsid w:val="00464C7A"/>
    <w:rsid w:val="00464D3D"/>
    <w:rsid w:val="0046533D"/>
    <w:rsid w:val="004654A8"/>
    <w:rsid w:val="00466489"/>
    <w:rsid w:val="00467025"/>
    <w:rsid w:val="004674FA"/>
    <w:rsid w:val="004677BD"/>
    <w:rsid w:val="00467F0E"/>
    <w:rsid w:val="0047096D"/>
    <w:rsid w:val="00471994"/>
    <w:rsid w:val="00471D2D"/>
    <w:rsid w:val="004723EC"/>
    <w:rsid w:val="0047293E"/>
    <w:rsid w:val="00472ECA"/>
    <w:rsid w:val="00472FC4"/>
    <w:rsid w:val="00473073"/>
    <w:rsid w:val="00473BC6"/>
    <w:rsid w:val="00473F9A"/>
    <w:rsid w:val="004742EC"/>
    <w:rsid w:val="00475116"/>
    <w:rsid w:val="00475FDA"/>
    <w:rsid w:val="00476468"/>
    <w:rsid w:val="00477055"/>
    <w:rsid w:val="00477123"/>
    <w:rsid w:val="0047775F"/>
    <w:rsid w:val="00477CD1"/>
    <w:rsid w:val="00477DF0"/>
    <w:rsid w:val="00477FF0"/>
    <w:rsid w:val="0048030B"/>
    <w:rsid w:val="00480A0A"/>
    <w:rsid w:val="00480AE2"/>
    <w:rsid w:val="00480C6F"/>
    <w:rsid w:val="00480DDC"/>
    <w:rsid w:val="00481275"/>
    <w:rsid w:val="004816F7"/>
    <w:rsid w:val="004818D9"/>
    <w:rsid w:val="0048231D"/>
    <w:rsid w:val="0048242F"/>
    <w:rsid w:val="004825A7"/>
    <w:rsid w:val="0048300F"/>
    <w:rsid w:val="00483111"/>
    <w:rsid w:val="00483676"/>
    <w:rsid w:val="00484868"/>
    <w:rsid w:val="00484FD0"/>
    <w:rsid w:val="004851A8"/>
    <w:rsid w:val="004856D9"/>
    <w:rsid w:val="00485AA9"/>
    <w:rsid w:val="004867AC"/>
    <w:rsid w:val="00487582"/>
    <w:rsid w:val="00487A74"/>
    <w:rsid w:val="00490183"/>
    <w:rsid w:val="004903DB"/>
    <w:rsid w:val="00490552"/>
    <w:rsid w:val="00492AB1"/>
    <w:rsid w:val="00492D40"/>
    <w:rsid w:val="00492E9A"/>
    <w:rsid w:val="00493B1C"/>
    <w:rsid w:val="00493C6A"/>
    <w:rsid w:val="00494226"/>
    <w:rsid w:val="0049483C"/>
    <w:rsid w:val="0049531E"/>
    <w:rsid w:val="004956A6"/>
    <w:rsid w:val="0049591A"/>
    <w:rsid w:val="00495B4B"/>
    <w:rsid w:val="00495B5B"/>
    <w:rsid w:val="00495B98"/>
    <w:rsid w:val="00495C71"/>
    <w:rsid w:val="00495D26"/>
    <w:rsid w:val="004970F0"/>
    <w:rsid w:val="00497C46"/>
    <w:rsid w:val="00497D74"/>
    <w:rsid w:val="004A05D0"/>
    <w:rsid w:val="004A1CE3"/>
    <w:rsid w:val="004A1E65"/>
    <w:rsid w:val="004A2204"/>
    <w:rsid w:val="004A2358"/>
    <w:rsid w:val="004A24E8"/>
    <w:rsid w:val="004A2B5B"/>
    <w:rsid w:val="004A2CD4"/>
    <w:rsid w:val="004A34A6"/>
    <w:rsid w:val="004A4095"/>
    <w:rsid w:val="004A45B5"/>
    <w:rsid w:val="004A4616"/>
    <w:rsid w:val="004A4907"/>
    <w:rsid w:val="004A51B8"/>
    <w:rsid w:val="004A520F"/>
    <w:rsid w:val="004A5B52"/>
    <w:rsid w:val="004A5EB5"/>
    <w:rsid w:val="004A6C7E"/>
    <w:rsid w:val="004B0334"/>
    <w:rsid w:val="004B0B5A"/>
    <w:rsid w:val="004B1C16"/>
    <w:rsid w:val="004B1C6A"/>
    <w:rsid w:val="004B24ED"/>
    <w:rsid w:val="004B2CB1"/>
    <w:rsid w:val="004B2F6F"/>
    <w:rsid w:val="004B347E"/>
    <w:rsid w:val="004B374C"/>
    <w:rsid w:val="004B400E"/>
    <w:rsid w:val="004B4AB8"/>
    <w:rsid w:val="004B54FF"/>
    <w:rsid w:val="004B5C8D"/>
    <w:rsid w:val="004B6DF7"/>
    <w:rsid w:val="004B7227"/>
    <w:rsid w:val="004B7D90"/>
    <w:rsid w:val="004C0250"/>
    <w:rsid w:val="004C061A"/>
    <w:rsid w:val="004C0CEE"/>
    <w:rsid w:val="004C1E14"/>
    <w:rsid w:val="004C2777"/>
    <w:rsid w:val="004C2B5A"/>
    <w:rsid w:val="004C3070"/>
    <w:rsid w:val="004C389C"/>
    <w:rsid w:val="004C3B27"/>
    <w:rsid w:val="004C486A"/>
    <w:rsid w:val="004C5460"/>
    <w:rsid w:val="004C5A29"/>
    <w:rsid w:val="004C5BCA"/>
    <w:rsid w:val="004C5CFE"/>
    <w:rsid w:val="004C5DB7"/>
    <w:rsid w:val="004C6105"/>
    <w:rsid w:val="004C65F2"/>
    <w:rsid w:val="004C7018"/>
    <w:rsid w:val="004C70E3"/>
    <w:rsid w:val="004C7298"/>
    <w:rsid w:val="004C7644"/>
    <w:rsid w:val="004D02E0"/>
    <w:rsid w:val="004D0900"/>
    <w:rsid w:val="004D09FE"/>
    <w:rsid w:val="004D1295"/>
    <w:rsid w:val="004D1698"/>
    <w:rsid w:val="004D1826"/>
    <w:rsid w:val="004D2314"/>
    <w:rsid w:val="004D29D1"/>
    <w:rsid w:val="004D2B12"/>
    <w:rsid w:val="004D2E20"/>
    <w:rsid w:val="004D39CF"/>
    <w:rsid w:val="004D510B"/>
    <w:rsid w:val="004D55D1"/>
    <w:rsid w:val="004D5CA7"/>
    <w:rsid w:val="004D5EB3"/>
    <w:rsid w:val="004D5EBD"/>
    <w:rsid w:val="004D65BE"/>
    <w:rsid w:val="004D6BC9"/>
    <w:rsid w:val="004D6E02"/>
    <w:rsid w:val="004D76C7"/>
    <w:rsid w:val="004D7A50"/>
    <w:rsid w:val="004D7D1E"/>
    <w:rsid w:val="004D7DAB"/>
    <w:rsid w:val="004E04E9"/>
    <w:rsid w:val="004E0691"/>
    <w:rsid w:val="004E0766"/>
    <w:rsid w:val="004E08C2"/>
    <w:rsid w:val="004E09A6"/>
    <w:rsid w:val="004E0A97"/>
    <w:rsid w:val="004E0B1F"/>
    <w:rsid w:val="004E10C2"/>
    <w:rsid w:val="004E137F"/>
    <w:rsid w:val="004E14FC"/>
    <w:rsid w:val="004E18EA"/>
    <w:rsid w:val="004E1D4F"/>
    <w:rsid w:val="004E2103"/>
    <w:rsid w:val="004E2C79"/>
    <w:rsid w:val="004E3BFD"/>
    <w:rsid w:val="004E4524"/>
    <w:rsid w:val="004E5600"/>
    <w:rsid w:val="004E5942"/>
    <w:rsid w:val="004E676B"/>
    <w:rsid w:val="004E7198"/>
    <w:rsid w:val="004E7781"/>
    <w:rsid w:val="004E7E93"/>
    <w:rsid w:val="004F0220"/>
    <w:rsid w:val="004F0BE0"/>
    <w:rsid w:val="004F0DF7"/>
    <w:rsid w:val="004F0E7D"/>
    <w:rsid w:val="004F125C"/>
    <w:rsid w:val="004F152B"/>
    <w:rsid w:val="004F1741"/>
    <w:rsid w:val="004F1E48"/>
    <w:rsid w:val="004F1EAA"/>
    <w:rsid w:val="004F25CD"/>
    <w:rsid w:val="004F3279"/>
    <w:rsid w:val="004F354D"/>
    <w:rsid w:val="004F37E3"/>
    <w:rsid w:val="004F3ABC"/>
    <w:rsid w:val="004F47C3"/>
    <w:rsid w:val="004F51D6"/>
    <w:rsid w:val="004F538F"/>
    <w:rsid w:val="004F584D"/>
    <w:rsid w:val="004F5B3B"/>
    <w:rsid w:val="004F623E"/>
    <w:rsid w:val="004F66B1"/>
    <w:rsid w:val="004F69BF"/>
    <w:rsid w:val="004F6EDC"/>
    <w:rsid w:val="004F7C01"/>
    <w:rsid w:val="004F7DD7"/>
    <w:rsid w:val="004F7E94"/>
    <w:rsid w:val="00500B10"/>
    <w:rsid w:val="00501A54"/>
    <w:rsid w:val="00501D5B"/>
    <w:rsid w:val="005025D0"/>
    <w:rsid w:val="00502D60"/>
    <w:rsid w:val="0050347C"/>
    <w:rsid w:val="005035F8"/>
    <w:rsid w:val="005039EF"/>
    <w:rsid w:val="00503F3D"/>
    <w:rsid w:val="005040D8"/>
    <w:rsid w:val="005046CF"/>
    <w:rsid w:val="005055A0"/>
    <w:rsid w:val="00505697"/>
    <w:rsid w:val="0050569A"/>
    <w:rsid w:val="00506354"/>
    <w:rsid w:val="0050645C"/>
    <w:rsid w:val="00506887"/>
    <w:rsid w:val="005070E7"/>
    <w:rsid w:val="005071A0"/>
    <w:rsid w:val="0050747D"/>
    <w:rsid w:val="005076C3"/>
    <w:rsid w:val="005077D1"/>
    <w:rsid w:val="00507802"/>
    <w:rsid w:val="00507F48"/>
    <w:rsid w:val="00510334"/>
    <w:rsid w:val="005103AF"/>
    <w:rsid w:val="00510606"/>
    <w:rsid w:val="005106F2"/>
    <w:rsid w:val="00510C66"/>
    <w:rsid w:val="005116A3"/>
    <w:rsid w:val="00511E50"/>
    <w:rsid w:val="00511ECC"/>
    <w:rsid w:val="00511F73"/>
    <w:rsid w:val="00512C18"/>
    <w:rsid w:val="00513B3F"/>
    <w:rsid w:val="00513EB6"/>
    <w:rsid w:val="00514202"/>
    <w:rsid w:val="00514854"/>
    <w:rsid w:val="005158F1"/>
    <w:rsid w:val="00515DF7"/>
    <w:rsid w:val="00516589"/>
    <w:rsid w:val="0051667D"/>
    <w:rsid w:val="00516D72"/>
    <w:rsid w:val="00517377"/>
    <w:rsid w:val="00517441"/>
    <w:rsid w:val="005177C7"/>
    <w:rsid w:val="00517E24"/>
    <w:rsid w:val="00520AED"/>
    <w:rsid w:val="00520EF5"/>
    <w:rsid w:val="005213D0"/>
    <w:rsid w:val="00521648"/>
    <w:rsid w:val="0052196A"/>
    <w:rsid w:val="005226D4"/>
    <w:rsid w:val="0052367B"/>
    <w:rsid w:val="00523951"/>
    <w:rsid w:val="00523F36"/>
    <w:rsid w:val="00523FAB"/>
    <w:rsid w:val="005242FB"/>
    <w:rsid w:val="00524B7A"/>
    <w:rsid w:val="00525457"/>
    <w:rsid w:val="005255C9"/>
    <w:rsid w:val="00525B31"/>
    <w:rsid w:val="00525EDB"/>
    <w:rsid w:val="005263B6"/>
    <w:rsid w:val="0052657F"/>
    <w:rsid w:val="005274D5"/>
    <w:rsid w:val="005278A2"/>
    <w:rsid w:val="005279E3"/>
    <w:rsid w:val="00527A84"/>
    <w:rsid w:val="0053083D"/>
    <w:rsid w:val="005315DD"/>
    <w:rsid w:val="00531F1F"/>
    <w:rsid w:val="00532353"/>
    <w:rsid w:val="00532E82"/>
    <w:rsid w:val="00532F25"/>
    <w:rsid w:val="00533969"/>
    <w:rsid w:val="005339F0"/>
    <w:rsid w:val="00533AC1"/>
    <w:rsid w:val="0053417B"/>
    <w:rsid w:val="005347FC"/>
    <w:rsid w:val="00534B04"/>
    <w:rsid w:val="00534DEA"/>
    <w:rsid w:val="0053529A"/>
    <w:rsid w:val="005368C6"/>
    <w:rsid w:val="00536B77"/>
    <w:rsid w:val="0053717B"/>
    <w:rsid w:val="00537BB0"/>
    <w:rsid w:val="00537E10"/>
    <w:rsid w:val="0054024B"/>
    <w:rsid w:val="005407B9"/>
    <w:rsid w:val="00540BD0"/>
    <w:rsid w:val="00540E66"/>
    <w:rsid w:val="00540FD8"/>
    <w:rsid w:val="00541425"/>
    <w:rsid w:val="00541609"/>
    <w:rsid w:val="00542E3C"/>
    <w:rsid w:val="00542E5C"/>
    <w:rsid w:val="00542EFC"/>
    <w:rsid w:val="005431A5"/>
    <w:rsid w:val="005432D2"/>
    <w:rsid w:val="005434FA"/>
    <w:rsid w:val="00543983"/>
    <w:rsid w:val="00543E24"/>
    <w:rsid w:val="0054417A"/>
    <w:rsid w:val="005443E5"/>
    <w:rsid w:val="00545128"/>
    <w:rsid w:val="0054515B"/>
    <w:rsid w:val="00545294"/>
    <w:rsid w:val="00545305"/>
    <w:rsid w:val="005457BB"/>
    <w:rsid w:val="00545CA8"/>
    <w:rsid w:val="00545E8B"/>
    <w:rsid w:val="00546DCE"/>
    <w:rsid w:val="0054765E"/>
    <w:rsid w:val="005479E5"/>
    <w:rsid w:val="005507F7"/>
    <w:rsid w:val="00550DAC"/>
    <w:rsid w:val="00551FC0"/>
    <w:rsid w:val="005525CD"/>
    <w:rsid w:val="00552CAA"/>
    <w:rsid w:val="00552E67"/>
    <w:rsid w:val="00552F3F"/>
    <w:rsid w:val="0055340E"/>
    <w:rsid w:val="00553727"/>
    <w:rsid w:val="00553C01"/>
    <w:rsid w:val="0055405F"/>
    <w:rsid w:val="005547BC"/>
    <w:rsid w:val="00554951"/>
    <w:rsid w:val="0055496C"/>
    <w:rsid w:val="00555D33"/>
    <w:rsid w:val="00556304"/>
    <w:rsid w:val="005564D8"/>
    <w:rsid w:val="00556C8F"/>
    <w:rsid w:val="00561527"/>
    <w:rsid w:val="00561743"/>
    <w:rsid w:val="005618AA"/>
    <w:rsid w:val="00561972"/>
    <w:rsid w:val="00562268"/>
    <w:rsid w:val="005624C8"/>
    <w:rsid w:val="00562B80"/>
    <w:rsid w:val="00562FCC"/>
    <w:rsid w:val="00563860"/>
    <w:rsid w:val="005647DA"/>
    <w:rsid w:val="00564A06"/>
    <w:rsid w:val="00565CE4"/>
    <w:rsid w:val="0056640B"/>
    <w:rsid w:val="0056750F"/>
    <w:rsid w:val="005675F7"/>
    <w:rsid w:val="00567C3D"/>
    <w:rsid w:val="0057095A"/>
    <w:rsid w:val="00570D53"/>
    <w:rsid w:val="00571059"/>
    <w:rsid w:val="00571798"/>
    <w:rsid w:val="005726C7"/>
    <w:rsid w:val="005726E5"/>
    <w:rsid w:val="005727CD"/>
    <w:rsid w:val="00573406"/>
    <w:rsid w:val="0057363C"/>
    <w:rsid w:val="00573680"/>
    <w:rsid w:val="00573CF6"/>
    <w:rsid w:val="00573ED0"/>
    <w:rsid w:val="00574329"/>
    <w:rsid w:val="00575726"/>
    <w:rsid w:val="005763EB"/>
    <w:rsid w:val="00576445"/>
    <w:rsid w:val="00576903"/>
    <w:rsid w:val="00576994"/>
    <w:rsid w:val="00577115"/>
    <w:rsid w:val="0057793C"/>
    <w:rsid w:val="00577E84"/>
    <w:rsid w:val="00580176"/>
    <w:rsid w:val="00580639"/>
    <w:rsid w:val="00580E41"/>
    <w:rsid w:val="00581026"/>
    <w:rsid w:val="00581065"/>
    <w:rsid w:val="00581A57"/>
    <w:rsid w:val="00581C83"/>
    <w:rsid w:val="0058227C"/>
    <w:rsid w:val="005823AE"/>
    <w:rsid w:val="00582420"/>
    <w:rsid w:val="0058244E"/>
    <w:rsid w:val="005829A0"/>
    <w:rsid w:val="00582A19"/>
    <w:rsid w:val="00582CDA"/>
    <w:rsid w:val="00583320"/>
    <w:rsid w:val="00583A0B"/>
    <w:rsid w:val="00583A32"/>
    <w:rsid w:val="0058403D"/>
    <w:rsid w:val="00584049"/>
    <w:rsid w:val="00584C84"/>
    <w:rsid w:val="00584EE9"/>
    <w:rsid w:val="0058552B"/>
    <w:rsid w:val="0058611E"/>
    <w:rsid w:val="00586884"/>
    <w:rsid w:val="00586BF0"/>
    <w:rsid w:val="00587278"/>
    <w:rsid w:val="00587DA6"/>
    <w:rsid w:val="00587F35"/>
    <w:rsid w:val="00591180"/>
    <w:rsid w:val="005925C8"/>
    <w:rsid w:val="00592E68"/>
    <w:rsid w:val="0059345F"/>
    <w:rsid w:val="00593CE1"/>
    <w:rsid w:val="0059428D"/>
    <w:rsid w:val="00594375"/>
    <w:rsid w:val="0059506B"/>
    <w:rsid w:val="00595539"/>
    <w:rsid w:val="00595679"/>
    <w:rsid w:val="005958D7"/>
    <w:rsid w:val="0059621B"/>
    <w:rsid w:val="00596FEB"/>
    <w:rsid w:val="00597B6C"/>
    <w:rsid w:val="00597E86"/>
    <w:rsid w:val="00597F73"/>
    <w:rsid w:val="005A073A"/>
    <w:rsid w:val="005A1702"/>
    <w:rsid w:val="005A1FBF"/>
    <w:rsid w:val="005A2263"/>
    <w:rsid w:val="005A2A0F"/>
    <w:rsid w:val="005A2A83"/>
    <w:rsid w:val="005A2ADB"/>
    <w:rsid w:val="005A32EF"/>
    <w:rsid w:val="005A3710"/>
    <w:rsid w:val="005A3935"/>
    <w:rsid w:val="005A3EC1"/>
    <w:rsid w:val="005A4547"/>
    <w:rsid w:val="005A485C"/>
    <w:rsid w:val="005A4872"/>
    <w:rsid w:val="005A5754"/>
    <w:rsid w:val="005A576D"/>
    <w:rsid w:val="005A5CAB"/>
    <w:rsid w:val="005A6027"/>
    <w:rsid w:val="005A6494"/>
    <w:rsid w:val="005A6F41"/>
    <w:rsid w:val="005A7C38"/>
    <w:rsid w:val="005B0205"/>
    <w:rsid w:val="005B0340"/>
    <w:rsid w:val="005B03ED"/>
    <w:rsid w:val="005B0BAB"/>
    <w:rsid w:val="005B18B2"/>
    <w:rsid w:val="005B19AF"/>
    <w:rsid w:val="005B2253"/>
    <w:rsid w:val="005B2285"/>
    <w:rsid w:val="005B2848"/>
    <w:rsid w:val="005B2CC6"/>
    <w:rsid w:val="005B2DF5"/>
    <w:rsid w:val="005B2DFA"/>
    <w:rsid w:val="005B3417"/>
    <w:rsid w:val="005B37C8"/>
    <w:rsid w:val="005B3DB5"/>
    <w:rsid w:val="005B3DCB"/>
    <w:rsid w:val="005B3F08"/>
    <w:rsid w:val="005B42DB"/>
    <w:rsid w:val="005B5EB2"/>
    <w:rsid w:val="005B689A"/>
    <w:rsid w:val="005B6C92"/>
    <w:rsid w:val="005B6CA2"/>
    <w:rsid w:val="005B77EB"/>
    <w:rsid w:val="005B7A7E"/>
    <w:rsid w:val="005B7E81"/>
    <w:rsid w:val="005C0B94"/>
    <w:rsid w:val="005C0F40"/>
    <w:rsid w:val="005C14A8"/>
    <w:rsid w:val="005C15BD"/>
    <w:rsid w:val="005C1656"/>
    <w:rsid w:val="005C19AA"/>
    <w:rsid w:val="005C2070"/>
    <w:rsid w:val="005C20B8"/>
    <w:rsid w:val="005C342F"/>
    <w:rsid w:val="005C34E8"/>
    <w:rsid w:val="005C357D"/>
    <w:rsid w:val="005C36B3"/>
    <w:rsid w:val="005C37D5"/>
    <w:rsid w:val="005C383E"/>
    <w:rsid w:val="005C4703"/>
    <w:rsid w:val="005C476C"/>
    <w:rsid w:val="005C4DD9"/>
    <w:rsid w:val="005C532A"/>
    <w:rsid w:val="005C567B"/>
    <w:rsid w:val="005C5E63"/>
    <w:rsid w:val="005C5F0E"/>
    <w:rsid w:val="005C6641"/>
    <w:rsid w:val="005D0D84"/>
    <w:rsid w:val="005D0F4B"/>
    <w:rsid w:val="005D119D"/>
    <w:rsid w:val="005D177D"/>
    <w:rsid w:val="005D255D"/>
    <w:rsid w:val="005D3E9B"/>
    <w:rsid w:val="005D430E"/>
    <w:rsid w:val="005D4F68"/>
    <w:rsid w:val="005D5107"/>
    <w:rsid w:val="005D546A"/>
    <w:rsid w:val="005D6679"/>
    <w:rsid w:val="005D69F1"/>
    <w:rsid w:val="005E091F"/>
    <w:rsid w:val="005E1018"/>
    <w:rsid w:val="005E1D74"/>
    <w:rsid w:val="005E20C6"/>
    <w:rsid w:val="005E2871"/>
    <w:rsid w:val="005E3D05"/>
    <w:rsid w:val="005E3DEA"/>
    <w:rsid w:val="005E4513"/>
    <w:rsid w:val="005E48A1"/>
    <w:rsid w:val="005E4B1F"/>
    <w:rsid w:val="005E4B84"/>
    <w:rsid w:val="005E4EB0"/>
    <w:rsid w:val="005E54F2"/>
    <w:rsid w:val="005E5908"/>
    <w:rsid w:val="005E5DA0"/>
    <w:rsid w:val="005E5E75"/>
    <w:rsid w:val="005E60E4"/>
    <w:rsid w:val="005E66FA"/>
    <w:rsid w:val="005E6DFF"/>
    <w:rsid w:val="005E70B3"/>
    <w:rsid w:val="005E7109"/>
    <w:rsid w:val="005E7E04"/>
    <w:rsid w:val="005E7FB3"/>
    <w:rsid w:val="005F0756"/>
    <w:rsid w:val="005F0771"/>
    <w:rsid w:val="005F0914"/>
    <w:rsid w:val="005F1040"/>
    <w:rsid w:val="005F1C08"/>
    <w:rsid w:val="005F26B6"/>
    <w:rsid w:val="005F33E6"/>
    <w:rsid w:val="005F446B"/>
    <w:rsid w:val="005F4E5E"/>
    <w:rsid w:val="005F4EE5"/>
    <w:rsid w:val="005F59DF"/>
    <w:rsid w:val="005F5C8A"/>
    <w:rsid w:val="005F6370"/>
    <w:rsid w:val="005F6F0A"/>
    <w:rsid w:val="005F794B"/>
    <w:rsid w:val="005F7AC5"/>
    <w:rsid w:val="0060153E"/>
    <w:rsid w:val="00601766"/>
    <w:rsid w:val="006017BA"/>
    <w:rsid w:val="006023B7"/>
    <w:rsid w:val="006029DA"/>
    <w:rsid w:val="00602BD4"/>
    <w:rsid w:val="006034FA"/>
    <w:rsid w:val="00603907"/>
    <w:rsid w:val="0060463D"/>
    <w:rsid w:val="0060464F"/>
    <w:rsid w:val="006047DD"/>
    <w:rsid w:val="00604FBB"/>
    <w:rsid w:val="00605263"/>
    <w:rsid w:val="00605A30"/>
    <w:rsid w:val="0060643D"/>
    <w:rsid w:val="0060659F"/>
    <w:rsid w:val="00606FF3"/>
    <w:rsid w:val="00607528"/>
    <w:rsid w:val="00607CF2"/>
    <w:rsid w:val="00610545"/>
    <w:rsid w:val="006108D9"/>
    <w:rsid w:val="00612707"/>
    <w:rsid w:val="0061314F"/>
    <w:rsid w:val="0061353C"/>
    <w:rsid w:val="006136D5"/>
    <w:rsid w:val="00613992"/>
    <w:rsid w:val="00614D18"/>
    <w:rsid w:val="00615534"/>
    <w:rsid w:val="00616B51"/>
    <w:rsid w:val="00616D15"/>
    <w:rsid w:val="006170DA"/>
    <w:rsid w:val="006178E5"/>
    <w:rsid w:val="00617C27"/>
    <w:rsid w:val="006205F0"/>
    <w:rsid w:val="00621741"/>
    <w:rsid w:val="00621B69"/>
    <w:rsid w:val="00621E5D"/>
    <w:rsid w:val="006222F8"/>
    <w:rsid w:val="00623D38"/>
    <w:rsid w:val="00624F08"/>
    <w:rsid w:val="00626041"/>
    <w:rsid w:val="00626E7B"/>
    <w:rsid w:val="00627950"/>
    <w:rsid w:val="00627A2A"/>
    <w:rsid w:val="00630E7E"/>
    <w:rsid w:val="00631157"/>
    <w:rsid w:val="00631207"/>
    <w:rsid w:val="0063132E"/>
    <w:rsid w:val="00631374"/>
    <w:rsid w:val="006314A8"/>
    <w:rsid w:val="00631535"/>
    <w:rsid w:val="00631C68"/>
    <w:rsid w:val="00631DA1"/>
    <w:rsid w:val="0063216B"/>
    <w:rsid w:val="0063361B"/>
    <w:rsid w:val="0063379F"/>
    <w:rsid w:val="00633806"/>
    <w:rsid w:val="0063447F"/>
    <w:rsid w:val="0063479E"/>
    <w:rsid w:val="00634951"/>
    <w:rsid w:val="00634DF8"/>
    <w:rsid w:val="00635B60"/>
    <w:rsid w:val="00635CFE"/>
    <w:rsid w:val="00636CCC"/>
    <w:rsid w:val="00636EDC"/>
    <w:rsid w:val="0063788A"/>
    <w:rsid w:val="00637B9A"/>
    <w:rsid w:val="00640004"/>
    <w:rsid w:val="006400FE"/>
    <w:rsid w:val="00640B65"/>
    <w:rsid w:val="00641538"/>
    <w:rsid w:val="00641C76"/>
    <w:rsid w:val="0064238F"/>
    <w:rsid w:val="006424FE"/>
    <w:rsid w:val="00642622"/>
    <w:rsid w:val="00642725"/>
    <w:rsid w:val="00642B81"/>
    <w:rsid w:val="006436F2"/>
    <w:rsid w:val="00643D0E"/>
    <w:rsid w:val="00643DC9"/>
    <w:rsid w:val="00644B31"/>
    <w:rsid w:val="00644E3A"/>
    <w:rsid w:val="00644FE3"/>
    <w:rsid w:val="00644FF5"/>
    <w:rsid w:val="006451D9"/>
    <w:rsid w:val="0064561B"/>
    <w:rsid w:val="0064567A"/>
    <w:rsid w:val="006458F7"/>
    <w:rsid w:val="00645F51"/>
    <w:rsid w:val="0064607C"/>
    <w:rsid w:val="00646181"/>
    <w:rsid w:val="00647329"/>
    <w:rsid w:val="00647949"/>
    <w:rsid w:val="006479D9"/>
    <w:rsid w:val="00647A8B"/>
    <w:rsid w:val="00650789"/>
    <w:rsid w:val="00651B40"/>
    <w:rsid w:val="00652645"/>
    <w:rsid w:val="006526B4"/>
    <w:rsid w:val="00652794"/>
    <w:rsid w:val="006527CD"/>
    <w:rsid w:val="0065298E"/>
    <w:rsid w:val="0065330B"/>
    <w:rsid w:val="00653BC7"/>
    <w:rsid w:val="00654972"/>
    <w:rsid w:val="00654FF3"/>
    <w:rsid w:val="006553A7"/>
    <w:rsid w:val="006555DA"/>
    <w:rsid w:val="00655EED"/>
    <w:rsid w:val="00656172"/>
    <w:rsid w:val="00656949"/>
    <w:rsid w:val="006570B1"/>
    <w:rsid w:val="00657534"/>
    <w:rsid w:val="00657731"/>
    <w:rsid w:val="00657FAC"/>
    <w:rsid w:val="006604C4"/>
    <w:rsid w:val="00660586"/>
    <w:rsid w:val="0066061A"/>
    <w:rsid w:val="006609FE"/>
    <w:rsid w:val="00660D78"/>
    <w:rsid w:val="00662ABE"/>
    <w:rsid w:val="00662C06"/>
    <w:rsid w:val="00662EC1"/>
    <w:rsid w:val="00663402"/>
    <w:rsid w:val="006634C8"/>
    <w:rsid w:val="006636A4"/>
    <w:rsid w:val="00663DDA"/>
    <w:rsid w:val="00663F05"/>
    <w:rsid w:val="00664363"/>
    <w:rsid w:val="006646FA"/>
    <w:rsid w:val="006649C5"/>
    <w:rsid w:val="00664C80"/>
    <w:rsid w:val="006651EF"/>
    <w:rsid w:val="006663B8"/>
    <w:rsid w:val="00666869"/>
    <w:rsid w:val="0066727E"/>
    <w:rsid w:val="00670949"/>
    <w:rsid w:val="00670C86"/>
    <w:rsid w:val="0067171F"/>
    <w:rsid w:val="00671BFC"/>
    <w:rsid w:val="0067230D"/>
    <w:rsid w:val="00672A0B"/>
    <w:rsid w:val="00672D40"/>
    <w:rsid w:val="006737E6"/>
    <w:rsid w:val="00673B9D"/>
    <w:rsid w:val="00674447"/>
    <w:rsid w:val="00674BB2"/>
    <w:rsid w:val="00676A21"/>
    <w:rsid w:val="00677970"/>
    <w:rsid w:val="006779D2"/>
    <w:rsid w:val="00680204"/>
    <w:rsid w:val="00680478"/>
    <w:rsid w:val="00680CEC"/>
    <w:rsid w:val="00681641"/>
    <w:rsid w:val="00682F6E"/>
    <w:rsid w:val="006847D1"/>
    <w:rsid w:val="00684940"/>
    <w:rsid w:val="00684DF2"/>
    <w:rsid w:val="00685128"/>
    <w:rsid w:val="00685F89"/>
    <w:rsid w:val="00686545"/>
    <w:rsid w:val="0068659C"/>
    <w:rsid w:val="00690678"/>
    <w:rsid w:val="006908D2"/>
    <w:rsid w:val="00690B30"/>
    <w:rsid w:val="006927C9"/>
    <w:rsid w:val="00692940"/>
    <w:rsid w:val="00693A00"/>
    <w:rsid w:val="00693C25"/>
    <w:rsid w:val="00693EF8"/>
    <w:rsid w:val="00694A03"/>
    <w:rsid w:val="00695146"/>
    <w:rsid w:val="0069587C"/>
    <w:rsid w:val="00696642"/>
    <w:rsid w:val="00696A30"/>
    <w:rsid w:val="00696B05"/>
    <w:rsid w:val="006971E3"/>
    <w:rsid w:val="00697329"/>
    <w:rsid w:val="00697F39"/>
    <w:rsid w:val="006A03CA"/>
    <w:rsid w:val="006A04FE"/>
    <w:rsid w:val="006A092C"/>
    <w:rsid w:val="006A0C6D"/>
    <w:rsid w:val="006A1448"/>
    <w:rsid w:val="006A188E"/>
    <w:rsid w:val="006A2383"/>
    <w:rsid w:val="006A24E2"/>
    <w:rsid w:val="006A2E9E"/>
    <w:rsid w:val="006A305D"/>
    <w:rsid w:val="006A305E"/>
    <w:rsid w:val="006A389C"/>
    <w:rsid w:val="006A38B1"/>
    <w:rsid w:val="006A3998"/>
    <w:rsid w:val="006A4304"/>
    <w:rsid w:val="006A437C"/>
    <w:rsid w:val="006A4968"/>
    <w:rsid w:val="006A4CF1"/>
    <w:rsid w:val="006A583A"/>
    <w:rsid w:val="006A617F"/>
    <w:rsid w:val="006A64A3"/>
    <w:rsid w:val="006A7273"/>
    <w:rsid w:val="006A7800"/>
    <w:rsid w:val="006A7BE3"/>
    <w:rsid w:val="006B07EF"/>
    <w:rsid w:val="006B0B3E"/>
    <w:rsid w:val="006B0ECC"/>
    <w:rsid w:val="006B12DB"/>
    <w:rsid w:val="006B1841"/>
    <w:rsid w:val="006B1D18"/>
    <w:rsid w:val="006B249F"/>
    <w:rsid w:val="006B28E9"/>
    <w:rsid w:val="006B30A8"/>
    <w:rsid w:val="006B3777"/>
    <w:rsid w:val="006B38AE"/>
    <w:rsid w:val="006B3BC0"/>
    <w:rsid w:val="006B4289"/>
    <w:rsid w:val="006B43F1"/>
    <w:rsid w:val="006B449C"/>
    <w:rsid w:val="006B5323"/>
    <w:rsid w:val="006B55EB"/>
    <w:rsid w:val="006B59F2"/>
    <w:rsid w:val="006B5AF9"/>
    <w:rsid w:val="006B705D"/>
    <w:rsid w:val="006B7070"/>
    <w:rsid w:val="006B7C52"/>
    <w:rsid w:val="006C0D6C"/>
    <w:rsid w:val="006C18E1"/>
    <w:rsid w:val="006C2C6E"/>
    <w:rsid w:val="006C2D72"/>
    <w:rsid w:val="006C2E9D"/>
    <w:rsid w:val="006C3404"/>
    <w:rsid w:val="006C3E63"/>
    <w:rsid w:val="006C42F1"/>
    <w:rsid w:val="006C56BF"/>
    <w:rsid w:val="006C5D25"/>
    <w:rsid w:val="006C5ECE"/>
    <w:rsid w:val="006C6018"/>
    <w:rsid w:val="006C655B"/>
    <w:rsid w:val="006C6813"/>
    <w:rsid w:val="006C68E2"/>
    <w:rsid w:val="006C76A0"/>
    <w:rsid w:val="006D05F0"/>
    <w:rsid w:val="006D07E7"/>
    <w:rsid w:val="006D0888"/>
    <w:rsid w:val="006D2113"/>
    <w:rsid w:val="006D2AC8"/>
    <w:rsid w:val="006D2FA9"/>
    <w:rsid w:val="006D2FBF"/>
    <w:rsid w:val="006D38B9"/>
    <w:rsid w:val="006D4150"/>
    <w:rsid w:val="006D4244"/>
    <w:rsid w:val="006D4F1C"/>
    <w:rsid w:val="006D56C6"/>
    <w:rsid w:val="006D5C37"/>
    <w:rsid w:val="006D660E"/>
    <w:rsid w:val="006D69EF"/>
    <w:rsid w:val="006D6B13"/>
    <w:rsid w:val="006D6D28"/>
    <w:rsid w:val="006D6FA0"/>
    <w:rsid w:val="006D7561"/>
    <w:rsid w:val="006E02F5"/>
    <w:rsid w:val="006E0775"/>
    <w:rsid w:val="006E08E7"/>
    <w:rsid w:val="006E11B8"/>
    <w:rsid w:val="006E20D8"/>
    <w:rsid w:val="006E23AB"/>
    <w:rsid w:val="006E2756"/>
    <w:rsid w:val="006E2B2C"/>
    <w:rsid w:val="006E3131"/>
    <w:rsid w:val="006E3A73"/>
    <w:rsid w:val="006E460D"/>
    <w:rsid w:val="006E4E05"/>
    <w:rsid w:val="006E613C"/>
    <w:rsid w:val="006E667D"/>
    <w:rsid w:val="006E6869"/>
    <w:rsid w:val="006E7103"/>
    <w:rsid w:val="006E72C8"/>
    <w:rsid w:val="006E7F7F"/>
    <w:rsid w:val="006F01C8"/>
    <w:rsid w:val="006F0942"/>
    <w:rsid w:val="006F0B1C"/>
    <w:rsid w:val="006F0CB9"/>
    <w:rsid w:val="006F115F"/>
    <w:rsid w:val="006F1612"/>
    <w:rsid w:val="006F2A75"/>
    <w:rsid w:val="006F325D"/>
    <w:rsid w:val="006F3315"/>
    <w:rsid w:val="006F42E8"/>
    <w:rsid w:val="006F47C2"/>
    <w:rsid w:val="006F59D8"/>
    <w:rsid w:val="006F5BA7"/>
    <w:rsid w:val="006F5CA3"/>
    <w:rsid w:val="006F6996"/>
    <w:rsid w:val="006F69B2"/>
    <w:rsid w:val="006F6D37"/>
    <w:rsid w:val="006F72B5"/>
    <w:rsid w:val="006F75A9"/>
    <w:rsid w:val="006F7A7A"/>
    <w:rsid w:val="006F7C53"/>
    <w:rsid w:val="007000BF"/>
    <w:rsid w:val="00700174"/>
    <w:rsid w:val="007001BC"/>
    <w:rsid w:val="00701928"/>
    <w:rsid w:val="00701E8F"/>
    <w:rsid w:val="00702018"/>
    <w:rsid w:val="0070233C"/>
    <w:rsid w:val="00702939"/>
    <w:rsid w:val="007029BD"/>
    <w:rsid w:val="0070350A"/>
    <w:rsid w:val="007036EA"/>
    <w:rsid w:val="007037D3"/>
    <w:rsid w:val="0070514B"/>
    <w:rsid w:val="00705468"/>
    <w:rsid w:val="00705785"/>
    <w:rsid w:val="007058A2"/>
    <w:rsid w:val="00707BD7"/>
    <w:rsid w:val="00710CF5"/>
    <w:rsid w:val="00710F95"/>
    <w:rsid w:val="00711654"/>
    <w:rsid w:val="007119AC"/>
    <w:rsid w:val="00712597"/>
    <w:rsid w:val="00712993"/>
    <w:rsid w:val="0071361C"/>
    <w:rsid w:val="00714813"/>
    <w:rsid w:val="00714A3A"/>
    <w:rsid w:val="00714B04"/>
    <w:rsid w:val="00714B64"/>
    <w:rsid w:val="00714EA7"/>
    <w:rsid w:val="00715953"/>
    <w:rsid w:val="007162C7"/>
    <w:rsid w:val="00716731"/>
    <w:rsid w:val="00717CE4"/>
    <w:rsid w:val="00717E0D"/>
    <w:rsid w:val="00717F9F"/>
    <w:rsid w:val="00720BEA"/>
    <w:rsid w:val="00720C41"/>
    <w:rsid w:val="007215AF"/>
    <w:rsid w:val="007216D9"/>
    <w:rsid w:val="00721BCB"/>
    <w:rsid w:val="007221FD"/>
    <w:rsid w:val="0072242E"/>
    <w:rsid w:val="00722E54"/>
    <w:rsid w:val="007232BA"/>
    <w:rsid w:val="007232E9"/>
    <w:rsid w:val="00723452"/>
    <w:rsid w:val="007251AE"/>
    <w:rsid w:val="0072529F"/>
    <w:rsid w:val="00725A0B"/>
    <w:rsid w:val="00725C96"/>
    <w:rsid w:val="00725DEE"/>
    <w:rsid w:val="007272D5"/>
    <w:rsid w:val="00727D9A"/>
    <w:rsid w:val="00730093"/>
    <w:rsid w:val="007305E5"/>
    <w:rsid w:val="0073079B"/>
    <w:rsid w:val="00730D42"/>
    <w:rsid w:val="00732F73"/>
    <w:rsid w:val="00734878"/>
    <w:rsid w:val="00734CBA"/>
    <w:rsid w:val="00735048"/>
    <w:rsid w:val="0073557A"/>
    <w:rsid w:val="0073638B"/>
    <w:rsid w:val="007367DD"/>
    <w:rsid w:val="00737068"/>
    <w:rsid w:val="007372DD"/>
    <w:rsid w:val="0073758C"/>
    <w:rsid w:val="00737AB0"/>
    <w:rsid w:val="00737FBE"/>
    <w:rsid w:val="0074034F"/>
    <w:rsid w:val="007405F1"/>
    <w:rsid w:val="00740A07"/>
    <w:rsid w:val="00740B4E"/>
    <w:rsid w:val="007411A9"/>
    <w:rsid w:val="00741879"/>
    <w:rsid w:val="007421B0"/>
    <w:rsid w:val="007423EB"/>
    <w:rsid w:val="00742DEE"/>
    <w:rsid w:val="0074306C"/>
    <w:rsid w:val="00744596"/>
    <w:rsid w:val="00744B76"/>
    <w:rsid w:val="0074536E"/>
    <w:rsid w:val="007456F8"/>
    <w:rsid w:val="007459B8"/>
    <w:rsid w:val="00746B9A"/>
    <w:rsid w:val="00747456"/>
    <w:rsid w:val="007503C7"/>
    <w:rsid w:val="00750BA2"/>
    <w:rsid w:val="00751392"/>
    <w:rsid w:val="00751B4A"/>
    <w:rsid w:val="007521A7"/>
    <w:rsid w:val="00752379"/>
    <w:rsid w:val="007545F0"/>
    <w:rsid w:val="00754B25"/>
    <w:rsid w:val="00756D18"/>
    <w:rsid w:val="00757185"/>
    <w:rsid w:val="00757C35"/>
    <w:rsid w:val="007603ED"/>
    <w:rsid w:val="00761504"/>
    <w:rsid w:val="00761A25"/>
    <w:rsid w:val="00762200"/>
    <w:rsid w:val="00762E3A"/>
    <w:rsid w:val="00763474"/>
    <w:rsid w:val="00763A9D"/>
    <w:rsid w:val="00763AB8"/>
    <w:rsid w:val="007643B1"/>
    <w:rsid w:val="0076510A"/>
    <w:rsid w:val="007656DD"/>
    <w:rsid w:val="0076636D"/>
    <w:rsid w:val="0076655D"/>
    <w:rsid w:val="00766B2E"/>
    <w:rsid w:val="0076700A"/>
    <w:rsid w:val="007675E2"/>
    <w:rsid w:val="00767C5A"/>
    <w:rsid w:val="00770EE2"/>
    <w:rsid w:val="00771CFE"/>
    <w:rsid w:val="0077214D"/>
    <w:rsid w:val="0077223F"/>
    <w:rsid w:val="0077238D"/>
    <w:rsid w:val="007723C1"/>
    <w:rsid w:val="00772A01"/>
    <w:rsid w:val="00772D3D"/>
    <w:rsid w:val="00772FD4"/>
    <w:rsid w:val="007747BF"/>
    <w:rsid w:val="00774AFA"/>
    <w:rsid w:val="007756A3"/>
    <w:rsid w:val="0077572D"/>
    <w:rsid w:val="00775CFA"/>
    <w:rsid w:val="0077666D"/>
    <w:rsid w:val="007766E7"/>
    <w:rsid w:val="007766F2"/>
    <w:rsid w:val="00776A70"/>
    <w:rsid w:val="007778BC"/>
    <w:rsid w:val="00777B25"/>
    <w:rsid w:val="00780092"/>
    <w:rsid w:val="00780423"/>
    <w:rsid w:val="00780E5F"/>
    <w:rsid w:val="007813FA"/>
    <w:rsid w:val="00781D4C"/>
    <w:rsid w:val="00781E2D"/>
    <w:rsid w:val="0078213B"/>
    <w:rsid w:val="00782158"/>
    <w:rsid w:val="00782206"/>
    <w:rsid w:val="00782A3C"/>
    <w:rsid w:val="00782F99"/>
    <w:rsid w:val="0078323A"/>
    <w:rsid w:val="00784601"/>
    <w:rsid w:val="00784C7C"/>
    <w:rsid w:val="00786670"/>
    <w:rsid w:val="007877BC"/>
    <w:rsid w:val="007903F6"/>
    <w:rsid w:val="00790D0B"/>
    <w:rsid w:val="00790DE6"/>
    <w:rsid w:val="00790F0E"/>
    <w:rsid w:val="00790F77"/>
    <w:rsid w:val="00791322"/>
    <w:rsid w:val="00792274"/>
    <w:rsid w:val="00792695"/>
    <w:rsid w:val="00792801"/>
    <w:rsid w:val="00793206"/>
    <w:rsid w:val="00793F7A"/>
    <w:rsid w:val="00794225"/>
    <w:rsid w:val="00794428"/>
    <w:rsid w:val="00794D16"/>
    <w:rsid w:val="00794E4E"/>
    <w:rsid w:val="00795560"/>
    <w:rsid w:val="00795993"/>
    <w:rsid w:val="00795BC2"/>
    <w:rsid w:val="0079602E"/>
    <w:rsid w:val="007963BC"/>
    <w:rsid w:val="00796898"/>
    <w:rsid w:val="007979BE"/>
    <w:rsid w:val="00797BA8"/>
    <w:rsid w:val="00797E93"/>
    <w:rsid w:val="007A0B94"/>
    <w:rsid w:val="007A0BD6"/>
    <w:rsid w:val="007A1ABB"/>
    <w:rsid w:val="007A1D05"/>
    <w:rsid w:val="007A1ECD"/>
    <w:rsid w:val="007A20CF"/>
    <w:rsid w:val="007A23BE"/>
    <w:rsid w:val="007A2427"/>
    <w:rsid w:val="007A2515"/>
    <w:rsid w:val="007A27FD"/>
    <w:rsid w:val="007A5ED4"/>
    <w:rsid w:val="007A617D"/>
    <w:rsid w:val="007A6286"/>
    <w:rsid w:val="007A666F"/>
    <w:rsid w:val="007A684E"/>
    <w:rsid w:val="007A73BC"/>
    <w:rsid w:val="007A77A3"/>
    <w:rsid w:val="007A785E"/>
    <w:rsid w:val="007A7A68"/>
    <w:rsid w:val="007A7CA3"/>
    <w:rsid w:val="007B040C"/>
    <w:rsid w:val="007B061A"/>
    <w:rsid w:val="007B0D74"/>
    <w:rsid w:val="007B0DF1"/>
    <w:rsid w:val="007B1380"/>
    <w:rsid w:val="007B1510"/>
    <w:rsid w:val="007B1DE6"/>
    <w:rsid w:val="007B31CC"/>
    <w:rsid w:val="007B3A9B"/>
    <w:rsid w:val="007B40D1"/>
    <w:rsid w:val="007B421E"/>
    <w:rsid w:val="007B4549"/>
    <w:rsid w:val="007B4785"/>
    <w:rsid w:val="007B4E8C"/>
    <w:rsid w:val="007B4F95"/>
    <w:rsid w:val="007B52AB"/>
    <w:rsid w:val="007B53E1"/>
    <w:rsid w:val="007B5C3C"/>
    <w:rsid w:val="007B69A2"/>
    <w:rsid w:val="007B6AAD"/>
    <w:rsid w:val="007B70AD"/>
    <w:rsid w:val="007B73ED"/>
    <w:rsid w:val="007B7AA0"/>
    <w:rsid w:val="007B7EA8"/>
    <w:rsid w:val="007B7EDD"/>
    <w:rsid w:val="007C0178"/>
    <w:rsid w:val="007C01C8"/>
    <w:rsid w:val="007C04DB"/>
    <w:rsid w:val="007C08AA"/>
    <w:rsid w:val="007C0D65"/>
    <w:rsid w:val="007C1117"/>
    <w:rsid w:val="007C1230"/>
    <w:rsid w:val="007C1418"/>
    <w:rsid w:val="007C1AF7"/>
    <w:rsid w:val="007C20D3"/>
    <w:rsid w:val="007C2295"/>
    <w:rsid w:val="007C3323"/>
    <w:rsid w:val="007C332D"/>
    <w:rsid w:val="007C3A26"/>
    <w:rsid w:val="007C3FF2"/>
    <w:rsid w:val="007C4242"/>
    <w:rsid w:val="007C463D"/>
    <w:rsid w:val="007C4695"/>
    <w:rsid w:val="007C4BF2"/>
    <w:rsid w:val="007C4FC9"/>
    <w:rsid w:val="007C7033"/>
    <w:rsid w:val="007C76DB"/>
    <w:rsid w:val="007D0142"/>
    <w:rsid w:val="007D015F"/>
    <w:rsid w:val="007D0BCC"/>
    <w:rsid w:val="007D0E35"/>
    <w:rsid w:val="007D10E7"/>
    <w:rsid w:val="007D1901"/>
    <w:rsid w:val="007D195C"/>
    <w:rsid w:val="007D1C85"/>
    <w:rsid w:val="007D2347"/>
    <w:rsid w:val="007D2925"/>
    <w:rsid w:val="007D3B46"/>
    <w:rsid w:val="007D3C61"/>
    <w:rsid w:val="007D439A"/>
    <w:rsid w:val="007D445B"/>
    <w:rsid w:val="007D4642"/>
    <w:rsid w:val="007D4AA5"/>
    <w:rsid w:val="007D4C10"/>
    <w:rsid w:val="007D4F12"/>
    <w:rsid w:val="007D4F62"/>
    <w:rsid w:val="007D5956"/>
    <w:rsid w:val="007D5BD5"/>
    <w:rsid w:val="007D610A"/>
    <w:rsid w:val="007D637B"/>
    <w:rsid w:val="007D6B96"/>
    <w:rsid w:val="007D7C04"/>
    <w:rsid w:val="007E07CD"/>
    <w:rsid w:val="007E0BCE"/>
    <w:rsid w:val="007E0ED2"/>
    <w:rsid w:val="007E0F5E"/>
    <w:rsid w:val="007E1B48"/>
    <w:rsid w:val="007E21F4"/>
    <w:rsid w:val="007E25DD"/>
    <w:rsid w:val="007E2725"/>
    <w:rsid w:val="007E27F1"/>
    <w:rsid w:val="007E281A"/>
    <w:rsid w:val="007E296B"/>
    <w:rsid w:val="007E2D64"/>
    <w:rsid w:val="007E322C"/>
    <w:rsid w:val="007E3A77"/>
    <w:rsid w:val="007E45E7"/>
    <w:rsid w:val="007E4FD5"/>
    <w:rsid w:val="007E52A5"/>
    <w:rsid w:val="007E56CE"/>
    <w:rsid w:val="007E57A6"/>
    <w:rsid w:val="007E5DF6"/>
    <w:rsid w:val="007E6302"/>
    <w:rsid w:val="007E6B4E"/>
    <w:rsid w:val="007E6BD3"/>
    <w:rsid w:val="007E6EA0"/>
    <w:rsid w:val="007E7DD3"/>
    <w:rsid w:val="007F0616"/>
    <w:rsid w:val="007F0B71"/>
    <w:rsid w:val="007F1349"/>
    <w:rsid w:val="007F1D82"/>
    <w:rsid w:val="007F2421"/>
    <w:rsid w:val="007F2BF3"/>
    <w:rsid w:val="007F6138"/>
    <w:rsid w:val="007F6482"/>
    <w:rsid w:val="007F684E"/>
    <w:rsid w:val="007F68CE"/>
    <w:rsid w:val="007F707F"/>
    <w:rsid w:val="007F75CF"/>
    <w:rsid w:val="00800230"/>
    <w:rsid w:val="00801C45"/>
    <w:rsid w:val="0080202B"/>
    <w:rsid w:val="0080222D"/>
    <w:rsid w:val="0080288C"/>
    <w:rsid w:val="00802BB1"/>
    <w:rsid w:val="00802C1E"/>
    <w:rsid w:val="00802E26"/>
    <w:rsid w:val="008034BE"/>
    <w:rsid w:val="008057B4"/>
    <w:rsid w:val="00805D56"/>
    <w:rsid w:val="00806333"/>
    <w:rsid w:val="00806A5B"/>
    <w:rsid w:val="00806BAF"/>
    <w:rsid w:val="0080724F"/>
    <w:rsid w:val="008072BC"/>
    <w:rsid w:val="00807914"/>
    <w:rsid w:val="0081008B"/>
    <w:rsid w:val="008108E7"/>
    <w:rsid w:val="00810EF7"/>
    <w:rsid w:val="00811981"/>
    <w:rsid w:val="00811B4A"/>
    <w:rsid w:val="0081297C"/>
    <w:rsid w:val="00812FAC"/>
    <w:rsid w:val="0081307C"/>
    <w:rsid w:val="008131F3"/>
    <w:rsid w:val="0081348C"/>
    <w:rsid w:val="008145C2"/>
    <w:rsid w:val="00814F3A"/>
    <w:rsid w:val="0081509B"/>
    <w:rsid w:val="008152CD"/>
    <w:rsid w:val="008154C7"/>
    <w:rsid w:val="00815634"/>
    <w:rsid w:val="00815842"/>
    <w:rsid w:val="008161C0"/>
    <w:rsid w:val="008163B3"/>
    <w:rsid w:val="00817054"/>
    <w:rsid w:val="0081789D"/>
    <w:rsid w:val="008201A9"/>
    <w:rsid w:val="008207D7"/>
    <w:rsid w:val="0082080B"/>
    <w:rsid w:val="00820A0C"/>
    <w:rsid w:val="00820EB8"/>
    <w:rsid w:val="00821169"/>
    <w:rsid w:val="00821826"/>
    <w:rsid w:val="008218CE"/>
    <w:rsid w:val="0082203A"/>
    <w:rsid w:val="0082212C"/>
    <w:rsid w:val="00822661"/>
    <w:rsid w:val="00822AD3"/>
    <w:rsid w:val="00822EB1"/>
    <w:rsid w:val="00822F67"/>
    <w:rsid w:val="008235E6"/>
    <w:rsid w:val="0082411F"/>
    <w:rsid w:val="00824CF1"/>
    <w:rsid w:val="00824E9A"/>
    <w:rsid w:val="0082526F"/>
    <w:rsid w:val="008262D9"/>
    <w:rsid w:val="00827229"/>
    <w:rsid w:val="0082751B"/>
    <w:rsid w:val="0082763A"/>
    <w:rsid w:val="00827BB0"/>
    <w:rsid w:val="0083024E"/>
    <w:rsid w:val="0083073F"/>
    <w:rsid w:val="008307F5"/>
    <w:rsid w:val="0083081C"/>
    <w:rsid w:val="0083089B"/>
    <w:rsid w:val="00831218"/>
    <w:rsid w:val="008317BD"/>
    <w:rsid w:val="00832032"/>
    <w:rsid w:val="00832AAE"/>
    <w:rsid w:val="00832AE2"/>
    <w:rsid w:val="00834776"/>
    <w:rsid w:val="008348A1"/>
    <w:rsid w:val="00834F13"/>
    <w:rsid w:val="008350D5"/>
    <w:rsid w:val="00835648"/>
    <w:rsid w:val="00835B1C"/>
    <w:rsid w:val="008362CA"/>
    <w:rsid w:val="00836731"/>
    <w:rsid w:val="00836C70"/>
    <w:rsid w:val="00836EC0"/>
    <w:rsid w:val="00837503"/>
    <w:rsid w:val="008376BA"/>
    <w:rsid w:val="00840502"/>
    <w:rsid w:val="00840837"/>
    <w:rsid w:val="008409D8"/>
    <w:rsid w:val="00840FB8"/>
    <w:rsid w:val="008417E8"/>
    <w:rsid w:val="008418D1"/>
    <w:rsid w:val="00842EED"/>
    <w:rsid w:val="00843471"/>
    <w:rsid w:val="008435B1"/>
    <w:rsid w:val="00843668"/>
    <w:rsid w:val="00843CE9"/>
    <w:rsid w:val="00844734"/>
    <w:rsid w:val="00844AE5"/>
    <w:rsid w:val="00844B31"/>
    <w:rsid w:val="00844BF8"/>
    <w:rsid w:val="00844D84"/>
    <w:rsid w:val="00844F96"/>
    <w:rsid w:val="00845ED3"/>
    <w:rsid w:val="00846112"/>
    <w:rsid w:val="0084640C"/>
    <w:rsid w:val="00846413"/>
    <w:rsid w:val="0084659B"/>
    <w:rsid w:val="00847205"/>
    <w:rsid w:val="008472C8"/>
    <w:rsid w:val="00847589"/>
    <w:rsid w:val="00847FC9"/>
    <w:rsid w:val="00850A74"/>
    <w:rsid w:val="00852A01"/>
    <w:rsid w:val="00853A89"/>
    <w:rsid w:val="00854BA2"/>
    <w:rsid w:val="00854D0E"/>
    <w:rsid w:val="00855764"/>
    <w:rsid w:val="008558C4"/>
    <w:rsid w:val="00855915"/>
    <w:rsid w:val="008567EE"/>
    <w:rsid w:val="00856ADA"/>
    <w:rsid w:val="0086079B"/>
    <w:rsid w:val="008610F9"/>
    <w:rsid w:val="0086124C"/>
    <w:rsid w:val="008624D1"/>
    <w:rsid w:val="00863251"/>
    <w:rsid w:val="008633C8"/>
    <w:rsid w:val="00863441"/>
    <w:rsid w:val="008640BD"/>
    <w:rsid w:val="00864C82"/>
    <w:rsid w:val="00865516"/>
    <w:rsid w:val="008662C3"/>
    <w:rsid w:val="00866370"/>
    <w:rsid w:val="00866843"/>
    <w:rsid w:val="008669C4"/>
    <w:rsid w:val="00866F1F"/>
    <w:rsid w:val="008673AD"/>
    <w:rsid w:val="00867C51"/>
    <w:rsid w:val="00867E39"/>
    <w:rsid w:val="00867F8D"/>
    <w:rsid w:val="008706DA"/>
    <w:rsid w:val="00870D59"/>
    <w:rsid w:val="008718B9"/>
    <w:rsid w:val="00871A91"/>
    <w:rsid w:val="00871BC0"/>
    <w:rsid w:val="00872686"/>
    <w:rsid w:val="00872C0A"/>
    <w:rsid w:val="0087306A"/>
    <w:rsid w:val="0087333A"/>
    <w:rsid w:val="008733B8"/>
    <w:rsid w:val="00873A32"/>
    <w:rsid w:val="008746ED"/>
    <w:rsid w:val="00874BAF"/>
    <w:rsid w:val="008754B4"/>
    <w:rsid w:val="00875CE7"/>
    <w:rsid w:val="0087610C"/>
    <w:rsid w:val="008762CD"/>
    <w:rsid w:val="008765FA"/>
    <w:rsid w:val="00876B06"/>
    <w:rsid w:val="008775AD"/>
    <w:rsid w:val="008806B2"/>
    <w:rsid w:val="00881034"/>
    <w:rsid w:val="00881514"/>
    <w:rsid w:val="008819B4"/>
    <w:rsid w:val="00881A20"/>
    <w:rsid w:val="00881F88"/>
    <w:rsid w:val="00882BC7"/>
    <w:rsid w:val="00882E6B"/>
    <w:rsid w:val="008830B7"/>
    <w:rsid w:val="0088338B"/>
    <w:rsid w:val="0088387B"/>
    <w:rsid w:val="00883D96"/>
    <w:rsid w:val="008846F8"/>
    <w:rsid w:val="0088482D"/>
    <w:rsid w:val="00884B92"/>
    <w:rsid w:val="00884EB4"/>
    <w:rsid w:val="008853B0"/>
    <w:rsid w:val="00885448"/>
    <w:rsid w:val="00885EDE"/>
    <w:rsid w:val="00886476"/>
    <w:rsid w:val="00886E5A"/>
    <w:rsid w:val="0088746F"/>
    <w:rsid w:val="0089010C"/>
    <w:rsid w:val="00890A85"/>
    <w:rsid w:val="00891AE9"/>
    <w:rsid w:val="00891FCF"/>
    <w:rsid w:val="008920BA"/>
    <w:rsid w:val="008926F5"/>
    <w:rsid w:val="00892822"/>
    <w:rsid w:val="00894344"/>
    <w:rsid w:val="0089464B"/>
    <w:rsid w:val="0089476F"/>
    <w:rsid w:val="00894BBF"/>
    <w:rsid w:val="0089541E"/>
    <w:rsid w:val="00895815"/>
    <w:rsid w:val="00895886"/>
    <w:rsid w:val="00896225"/>
    <w:rsid w:val="00896387"/>
    <w:rsid w:val="0089650F"/>
    <w:rsid w:val="00896510"/>
    <w:rsid w:val="00897094"/>
    <w:rsid w:val="00897237"/>
    <w:rsid w:val="008A0312"/>
    <w:rsid w:val="008A05F6"/>
    <w:rsid w:val="008A07E3"/>
    <w:rsid w:val="008A1F5F"/>
    <w:rsid w:val="008A26AC"/>
    <w:rsid w:val="008A2A44"/>
    <w:rsid w:val="008A2AF8"/>
    <w:rsid w:val="008A2F98"/>
    <w:rsid w:val="008A3151"/>
    <w:rsid w:val="008A31D2"/>
    <w:rsid w:val="008A3315"/>
    <w:rsid w:val="008A3558"/>
    <w:rsid w:val="008A3A44"/>
    <w:rsid w:val="008A4647"/>
    <w:rsid w:val="008A4CBF"/>
    <w:rsid w:val="008A61EF"/>
    <w:rsid w:val="008A6F1F"/>
    <w:rsid w:val="008A7F7D"/>
    <w:rsid w:val="008B046B"/>
    <w:rsid w:val="008B0675"/>
    <w:rsid w:val="008B06FA"/>
    <w:rsid w:val="008B09B6"/>
    <w:rsid w:val="008B111B"/>
    <w:rsid w:val="008B137E"/>
    <w:rsid w:val="008B14BD"/>
    <w:rsid w:val="008B2D99"/>
    <w:rsid w:val="008B3275"/>
    <w:rsid w:val="008B387E"/>
    <w:rsid w:val="008B3C77"/>
    <w:rsid w:val="008B415A"/>
    <w:rsid w:val="008B465E"/>
    <w:rsid w:val="008B4A57"/>
    <w:rsid w:val="008B526D"/>
    <w:rsid w:val="008B548A"/>
    <w:rsid w:val="008B58D7"/>
    <w:rsid w:val="008B5DA9"/>
    <w:rsid w:val="008B655E"/>
    <w:rsid w:val="008B67BE"/>
    <w:rsid w:val="008B68D7"/>
    <w:rsid w:val="008B691C"/>
    <w:rsid w:val="008B7030"/>
    <w:rsid w:val="008B75D4"/>
    <w:rsid w:val="008C0418"/>
    <w:rsid w:val="008C2455"/>
    <w:rsid w:val="008C26F1"/>
    <w:rsid w:val="008C28F4"/>
    <w:rsid w:val="008C29CC"/>
    <w:rsid w:val="008C2DFA"/>
    <w:rsid w:val="008C3173"/>
    <w:rsid w:val="008C3363"/>
    <w:rsid w:val="008C40B4"/>
    <w:rsid w:val="008C42E2"/>
    <w:rsid w:val="008C47CC"/>
    <w:rsid w:val="008C4DED"/>
    <w:rsid w:val="008C5507"/>
    <w:rsid w:val="008C624E"/>
    <w:rsid w:val="008C6522"/>
    <w:rsid w:val="008C6726"/>
    <w:rsid w:val="008C684D"/>
    <w:rsid w:val="008C6C96"/>
    <w:rsid w:val="008C7562"/>
    <w:rsid w:val="008C7BC9"/>
    <w:rsid w:val="008C7BFB"/>
    <w:rsid w:val="008D062A"/>
    <w:rsid w:val="008D2535"/>
    <w:rsid w:val="008D298F"/>
    <w:rsid w:val="008D3EBB"/>
    <w:rsid w:val="008D599F"/>
    <w:rsid w:val="008D6018"/>
    <w:rsid w:val="008D662F"/>
    <w:rsid w:val="008D6C2F"/>
    <w:rsid w:val="008D6E58"/>
    <w:rsid w:val="008D716C"/>
    <w:rsid w:val="008D75CF"/>
    <w:rsid w:val="008D79AF"/>
    <w:rsid w:val="008E0224"/>
    <w:rsid w:val="008E02B9"/>
    <w:rsid w:val="008E05C4"/>
    <w:rsid w:val="008E0843"/>
    <w:rsid w:val="008E0E65"/>
    <w:rsid w:val="008E1461"/>
    <w:rsid w:val="008E14AB"/>
    <w:rsid w:val="008E16AC"/>
    <w:rsid w:val="008E214F"/>
    <w:rsid w:val="008E28E8"/>
    <w:rsid w:val="008E28FB"/>
    <w:rsid w:val="008E2C5C"/>
    <w:rsid w:val="008E3164"/>
    <w:rsid w:val="008E3347"/>
    <w:rsid w:val="008E36C2"/>
    <w:rsid w:val="008E3947"/>
    <w:rsid w:val="008E410A"/>
    <w:rsid w:val="008E4ED9"/>
    <w:rsid w:val="008E552C"/>
    <w:rsid w:val="008E647E"/>
    <w:rsid w:val="008E6559"/>
    <w:rsid w:val="008E6F42"/>
    <w:rsid w:val="008E7118"/>
    <w:rsid w:val="008E7318"/>
    <w:rsid w:val="008E7F4E"/>
    <w:rsid w:val="008E7FC9"/>
    <w:rsid w:val="008F02B3"/>
    <w:rsid w:val="008F0632"/>
    <w:rsid w:val="008F0E55"/>
    <w:rsid w:val="008F0FA5"/>
    <w:rsid w:val="008F1FA2"/>
    <w:rsid w:val="008F338D"/>
    <w:rsid w:val="008F407A"/>
    <w:rsid w:val="008F417F"/>
    <w:rsid w:val="008F4768"/>
    <w:rsid w:val="008F49D0"/>
    <w:rsid w:val="008F5698"/>
    <w:rsid w:val="008F5DB1"/>
    <w:rsid w:val="008F7483"/>
    <w:rsid w:val="008F7B2A"/>
    <w:rsid w:val="00900939"/>
    <w:rsid w:val="00900F38"/>
    <w:rsid w:val="00901878"/>
    <w:rsid w:val="009018C8"/>
    <w:rsid w:val="009019F7"/>
    <w:rsid w:val="00901ED5"/>
    <w:rsid w:val="00902C56"/>
    <w:rsid w:val="009045AE"/>
    <w:rsid w:val="00904E93"/>
    <w:rsid w:val="009059E7"/>
    <w:rsid w:val="00905DD1"/>
    <w:rsid w:val="00906342"/>
    <w:rsid w:val="009065EB"/>
    <w:rsid w:val="009079FC"/>
    <w:rsid w:val="00907B89"/>
    <w:rsid w:val="009115F8"/>
    <w:rsid w:val="00911C44"/>
    <w:rsid w:val="00911E4A"/>
    <w:rsid w:val="00911FF6"/>
    <w:rsid w:val="00912020"/>
    <w:rsid w:val="009120AF"/>
    <w:rsid w:val="00912F34"/>
    <w:rsid w:val="0091327D"/>
    <w:rsid w:val="00913CD6"/>
    <w:rsid w:val="00914049"/>
    <w:rsid w:val="00915139"/>
    <w:rsid w:val="009152DD"/>
    <w:rsid w:val="0091538D"/>
    <w:rsid w:val="00915F43"/>
    <w:rsid w:val="009162C2"/>
    <w:rsid w:val="00916695"/>
    <w:rsid w:val="009167DE"/>
    <w:rsid w:val="009170C9"/>
    <w:rsid w:val="00917CD5"/>
    <w:rsid w:val="00922FC5"/>
    <w:rsid w:val="00923390"/>
    <w:rsid w:val="009247FD"/>
    <w:rsid w:val="0092566C"/>
    <w:rsid w:val="00925ABA"/>
    <w:rsid w:val="00925E20"/>
    <w:rsid w:val="0092644F"/>
    <w:rsid w:val="00926671"/>
    <w:rsid w:val="00927192"/>
    <w:rsid w:val="00927823"/>
    <w:rsid w:val="00927F4F"/>
    <w:rsid w:val="009305E1"/>
    <w:rsid w:val="00931062"/>
    <w:rsid w:val="009312D1"/>
    <w:rsid w:val="009318BD"/>
    <w:rsid w:val="00931F7D"/>
    <w:rsid w:val="00932689"/>
    <w:rsid w:val="00932D8D"/>
    <w:rsid w:val="00932F00"/>
    <w:rsid w:val="009338FD"/>
    <w:rsid w:val="00933BF7"/>
    <w:rsid w:val="00933F08"/>
    <w:rsid w:val="00933F70"/>
    <w:rsid w:val="00934346"/>
    <w:rsid w:val="0093450A"/>
    <w:rsid w:val="009345A7"/>
    <w:rsid w:val="00934824"/>
    <w:rsid w:val="00934AB9"/>
    <w:rsid w:val="00934BDD"/>
    <w:rsid w:val="009351F1"/>
    <w:rsid w:val="009352AD"/>
    <w:rsid w:val="00935794"/>
    <w:rsid w:val="00935AEB"/>
    <w:rsid w:val="0093635D"/>
    <w:rsid w:val="009363BB"/>
    <w:rsid w:val="0093771E"/>
    <w:rsid w:val="009379DC"/>
    <w:rsid w:val="00940292"/>
    <w:rsid w:val="009402FA"/>
    <w:rsid w:val="00940809"/>
    <w:rsid w:val="00940A96"/>
    <w:rsid w:val="00940C50"/>
    <w:rsid w:val="0094179B"/>
    <w:rsid w:val="009418D2"/>
    <w:rsid w:val="00941C10"/>
    <w:rsid w:val="009426CC"/>
    <w:rsid w:val="00942F8F"/>
    <w:rsid w:val="00943018"/>
    <w:rsid w:val="009430AA"/>
    <w:rsid w:val="00943446"/>
    <w:rsid w:val="009438E5"/>
    <w:rsid w:val="00943C6A"/>
    <w:rsid w:val="00943DE3"/>
    <w:rsid w:val="00943FBB"/>
    <w:rsid w:val="0094448D"/>
    <w:rsid w:val="009447BF"/>
    <w:rsid w:val="00944D20"/>
    <w:rsid w:val="00944DD6"/>
    <w:rsid w:val="009451B0"/>
    <w:rsid w:val="00945514"/>
    <w:rsid w:val="00945B88"/>
    <w:rsid w:val="009463A8"/>
    <w:rsid w:val="00946455"/>
    <w:rsid w:val="00946DB8"/>
    <w:rsid w:val="0094780D"/>
    <w:rsid w:val="00947AD3"/>
    <w:rsid w:val="00947E2E"/>
    <w:rsid w:val="00950471"/>
    <w:rsid w:val="00951430"/>
    <w:rsid w:val="0095153C"/>
    <w:rsid w:val="00951D2D"/>
    <w:rsid w:val="00951DAD"/>
    <w:rsid w:val="00951F99"/>
    <w:rsid w:val="00952702"/>
    <w:rsid w:val="0095277B"/>
    <w:rsid w:val="009529DC"/>
    <w:rsid w:val="00952CE7"/>
    <w:rsid w:val="0095356E"/>
    <w:rsid w:val="00953DCD"/>
    <w:rsid w:val="009540E6"/>
    <w:rsid w:val="009546B6"/>
    <w:rsid w:val="009549B1"/>
    <w:rsid w:val="00954A3C"/>
    <w:rsid w:val="00954CE7"/>
    <w:rsid w:val="00955215"/>
    <w:rsid w:val="00955236"/>
    <w:rsid w:val="009561E9"/>
    <w:rsid w:val="00956AEA"/>
    <w:rsid w:val="00956F20"/>
    <w:rsid w:val="00957090"/>
    <w:rsid w:val="009576AD"/>
    <w:rsid w:val="00960297"/>
    <w:rsid w:val="0096054B"/>
    <w:rsid w:val="0096071A"/>
    <w:rsid w:val="0096175A"/>
    <w:rsid w:val="00961932"/>
    <w:rsid w:val="00961A1F"/>
    <w:rsid w:val="00961AC5"/>
    <w:rsid w:val="00961F24"/>
    <w:rsid w:val="0096234E"/>
    <w:rsid w:val="00965300"/>
    <w:rsid w:val="00965304"/>
    <w:rsid w:val="0096537D"/>
    <w:rsid w:val="009658F3"/>
    <w:rsid w:val="00965A8A"/>
    <w:rsid w:val="00965B22"/>
    <w:rsid w:val="00965E36"/>
    <w:rsid w:val="00966266"/>
    <w:rsid w:val="009665CF"/>
    <w:rsid w:val="00966B0E"/>
    <w:rsid w:val="009675F8"/>
    <w:rsid w:val="009677D3"/>
    <w:rsid w:val="00967E6C"/>
    <w:rsid w:val="00967FA8"/>
    <w:rsid w:val="009705B9"/>
    <w:rsid w:val="0097064D"/>
    <w:rsid w:val="009706A6"/>
    <w:rsid w:val="009710D0"/>
    <w:rsid w:val="009713FB"/>
    <w:rsid w:val="0097190D"/>
    <w:rsid w:val="00971914"/>
    <w:rsid w:val="0097244E"/>
    <w:rsid w:val="00972815"/>
    <w:rsid w:val="00972878"/>
    <w:rsid w:val="00972A86"/>
    <w:rsid w:val="0097352E"/>
    <w:rsid w:val="00974121"/>
    <w:rsid w:val="009759FA"/>
    <w:rsid w:val="00975B34"/>
    <w:rsid w:val="009769C6"/>
    <w:rsid w:val="00976D70"/>
    <w:rsid w:val="00976F67"/>
    <w:rsid w:val="00976FB4"/>
    <w:rsid w:val="009775A5"/>
    <w:rsid w:val="00977A53"/>
    <w:rsid w:val="00977EBC"/>
    <w:rsid w:val="009803BE"/>
    <w:rsid w:val="0098085C"/>
    <w:rsid w:val="00980FE5"/>
    <w:rsid w:val="0098149A"/>
    <w:rsid w:val="009823CD"/>
    <w:rsid w:val="00982E59"/>
    <w:rsid w:val="009836FD"/>
    <w:rsid w:val="00983DE6"/>
    <w:rsid w:val="0098401C"/>
    <w:rsid w:val="00984AA4"/>
    <w:rsid w:val="00986521"/>
    <w:rsid w:val="00986B1D"/>
    <w:rsid w:val="00987A24"/>
    <w:rsid w:val="00990582"/>
    <w:rsid w:val="00991EAD"/>
    <w:rsid w:val="00992074"/>
    <w:rsid w:val="0099290D"/>
    <w:rsid w:val="00993468"/>
    <w:rsid w:val="0099384D"/>
    <w:rsid w:val="00993CE1"/>
    <w:rsid w:val="0099410A"/>
    <w:rsid w:val="00995849"/>
    <w:rsid w:val="009970AD"/>
    <w:rsid w:val="0099759A"/>
    <w:rsid w:val="009979E7"/>
    <w:rsid w:val="009A0205"/>
    <w:rsid w:val="009A07C4"/>
    <w:rsid w:val="009A0927"/>
    <w:rsid w:val="009A0A1E"/>
    <w:rsid w:val="009A1095"/>
    <w:rsid w:val="009A26B5"/>
    <w:rsid w:val="009A3605"/>
    <w:rsid w:val="009A387C"/>
    <w:rsid w:val="009A3CFC"/>
    <w:rsid w:val="009A4589"/>
    <w:rsid w:val="009A4B4D"/>
    <w:rsid w:val="009A4D37"/>
    <w:rsid w:val="009A536C"/>
    <w:rsid w:val="009A5AB6"/>
    <w:rsid w:val="009A6254"/>
    <w:rsid w:val="009A6314"/>
    <w:rsid w:val="009A6FDC"/>
    <w:rsid w:val="009A7429"/>
    <w:rsid w:val="009A7A23"/>
    <w:rsid w:val="009A7B5B"/>
    <w:rsid w:val="009B00B3"/>
    <w:rsid w:val="009B0187"/>
    <w:rsid w:val="009B045D"/>
    <w:rsid w:val="009B134F"/>
    <w:rsid w:val="009B1B44"/>
    <w:rsid w:val="009B2137"/>
    <w:rsid w:val="009B221B"/>
    <w:rsid w:val="009B2B52"/>
    <w:rsid w:val="009B32CF"/>
    <w:rsid w:val="009B37A9"/>
    <w:rsid w:val="009B3967"/>
    <w:rsid w:val="009B4DAD"/>
    <w:rsid w:val="009B5B25"/>
    <w:rsid w:val="009B6701"/>
    <w:rsid w:val="009B71E1"/>
    <w:rsid w:val="009B7339"/>
    <w:rsid w:val="009B7522"/>
    <w:rsid w:val="009B7BCF"/>
    <w:rsid w:val="009C139F"/>
    <w:rsid w:val="009C1F7D"/>
    <w:rsid w:val="009C2100"/>
    <w:rsid w:val="009C34D2"/>
    <w:rsid w:val="009C35BD"/>
    <w:rsid w:val="009C399C"/>
    <w:rsid w:val="009C4202"/>
    <w:rsid w:val="009C645B"/>
    <w:rsid w:val="009C697B"/>
    <w:rsid w:val="009C6FC6"/>
    <w:rsid w:val="009C7266"/>
    <w:rsid w:val="009C7E40"/>
    <w:rsid w:val="009C7F5F"/>
    <w:rsid w:val="009D0120"/>
    <w:rsid w:val="009D19FE"/>
    <w:rsid w:val="009D2179"/>
    <w:rsid w:val="009D28AE"/>
    <w:rsid w:val="009D2D44"/>
    <w:rsid w:val="009D3359"/>
    <w:rsid w:val="009D3842"/>
    <w:rsid w:val="009D3BFE"/>
    <w:rsid w:val="009D417A"/>
    <w:rsid w:val="009D5B00"/>
    <w:rsid w:val="009D6698"/>
    <w:rsid w:val="009E02A3"/>
    <w:rsid w:val="009E19B7"/>
    <w:rsid w:val="009E1A8B"/>
    <w:rsid w:val="009E20FC"/>
    <w:rsid w:val="009E2696"/>
    <w:rsid w:val="009E2773"/>
    <w:rsid w:val="009E27EC"/>
    <w:rsid w:val="009E2883"/>
    <w:rsid w:val="009E2971"/>
    <w:rsid w:val="009E2E82"/>
    <w:rsid w:val="009E3B8D"/>
    <w:rsid w:val="009E3FDE"/>
    <w:rsid w:val="009E4E15"/>
    <w:rsid w:val="009E4E65"/>
    <w:rsid w:val="009E4EE7"/>
    <w:rsid w:val="009E54A2"/>
    <w:rsid w:val="009E5638"/>
    <w:rsid w:val="009E65B1"/>
    <w:rsid w:val="009E6DC4"/>
    <w:rsid w:val="009E6E2E"/>
    <w:rsid w:val="009E6FAE"/>
    <w:rsid w:val="009E7DA4"/>
    <w:rsid w:val="009F02DC"/>
    <w:rsid w:val="009F0A51"/>
    <w:rsid w:val="009F10AC"/>
    <w:rsid w:val="009F1211"/>
    <w:rsid w:val="009F150D"/>
    <w:rsid w:val="009F1FA6"/>
    <w:rsid w:val="009F2C4B"/>
    <w:rsid w:val="009F3640"/>
    <w:rsid w:val="009F4611"/>
    <w:rsid w:val="009F4745"/>
    <w:rsid w:val="009F49D5"/>
    <w:rsid w:val="009F4A5B"/>
    <w:rsid w:val="009F4ED1"/>
    <w:rsid w:val="009F55D5"/>
    <w:rsid w:val="009F623B"/>
    <w:rsid w:val="009F6A49"/>
    <w:rsid w:val="009F7C14"/>
    <w:rsid w:val="009F7D89"/>
    <w:rsid w:val="00A01555"/>
    <w:rsid w:val="00A018E5"/>
    <w:rsid w:val="00A01EF9"/>
    <w:rsid w:val="00A031F7"/>
    <w:rsid w:val="00A04C6B"/>
    <w:rsid w:val="00A04DAF"/>
    <w:rsid w:val="00A054EF"/>
    <w:rsid w:val="00A05A72"/>
    <w:rsid w:val="00A05B2A"/>
    <w:rsid w:val="00A0645E"/>
    <w:rsid w:val="00A073B1"/>
    <w:rsid w:val="00A07FF3"/>
    <w:rsid w:val="00A10524"/>
    <w:rsid w:val="00A10666"/>
    <w:rsid w:val="00A10883"/>
    <w:rsid w:val="00A10EC5"/>
    <w:rsid w:val="00A11B3E"/>
    <w:rsid w:val="00A1238F"/>
    <w:rsid w:val="00A124AC"/>
    <w:rsid w:val="00A129B9"/>
    <w:rsid w:val="00A14237"/>
    <w:rsid w:val="00A1427A"/>
    <w:rsid w:val="00A14591"/>
    <w:rsid w:val="00A145BC"/>
    <w:rsid w:val="00A14D12"/>
    <w:rsid w:val="00A14D43"/>
    <w:rsid w:val="00A156E5"/>
    <w:rsid w:val="00A15890"/>
    <w:rsid w:val="00A1606A"/>
    <w:rsid w:val="00A166E2"/>
    <w:rsid w:val="00A1727E"/>
    <w:rsid w:val="00A177CB"/>
    <w:rsid w:val="00A17872"/>
    <w:rsid w:val="00A20C90"/>
    <w:rsid w:val="00A20E7F"/>
    <w:rsid w:val="00A20FB4"/>
    <w:rsid w:val="00A218C5"/>
    <w:rsid w:val="00A220E0"/>
    <w:rsid w:val="00A22720"/>
    <w:rsid w:val="00A22FA9"/>
    <w:rsid w:val="00A2323F"/>
    <w:rsid w:val="00A23A62"/>
    <w:rsid w:val="00A23AEF"/>
    <w:rsid w:val="00A24046"/>
    <w:rsid w:val="00A240AC"/>
    <w:rsid w:val="00A24920"/>
    <w:rsid w:val="00A25037"/>
    <w:rsid w:val="00A25904"/>
    <w:rsid w:val="00A259B7"/>
    <w:rsid w:val="00A260A8"/>
    <w:rsid w:val="00A26125"/>
    <w:rsid w:val="00A273BE"/>
    <w:rsid w:val="00A27ED2"/>
    <w:rsid w:val="00A3040E"/>
    <w:rsid w:val="00A30ADA"/>
    <w:rsid w:val="00A30ADC"/>
    <w:rsid w:val="00A31394"/>
    <w:rsid w:val="00A316BC"/>
    <w:rsid w:val="00A316F2"/>
    <w:rsid w:val="00A31B4A"/>
    <w:rsid w:val="00A3264E"/>
    <w:rsid w:val="00A3282C"/>
    <w:rsid w:val="00A32B37"/>
    <w:rsid w:val="00A3302F"/>
    <w:rsid w:val="00A33A7F"/>
    <w:rsid w:val="00A33B97"/>
    <w:rsid w:val="00A35166"/>
    <w:rsid w:val="00A35309"/>
    <w:rsid w:val="00A35744"/>
    <w:rsid w:val="00A357B3"/>
    <w:rsid w:val="00A35BB9"/>
    <w:rsid w:val="00A35CAC"/>
    <w:rsid w:val="00A36BAC"/>
    <w:rsid w:val="00A400FD"/>
    <w:rsid w:val="00A40393"/>
    <w:rsid w:val="00A40714"/>
    <w:rsid w:val="00A40C3F"/>
    <w:rsid w:val="00A40EC3"/>
    <w:rsid w:val="00A41C84"/>
    <w:rsid w:val="00A427DB"/>
    <w:rsid w:val="00A42A90"/>
    <w:rsid w:val="00A43219"/>
    <w:rsid w:val="00A43918"/>
    <w:rsid w:val="00A44AD9"/>
    <w:rsid w:val="00A45347"/>
    <w:rsid w:val="00A45755"/>
    <w:rsid w:val="00A45880"/>
    <w:rsid w:val="00A46130"/>
    <w:rsid w:val="00A46265"/>
    <w:rsid w:val="00A47491"/>
    <w:rsid w:val="00A4752F"/>
    <w:rsid w:val="00A4759D"/>
    <w:rsid w:val="00A47671"/>
    <w:rsid w:val="00A47920"/>
    <w:rsid w:val="00A47CAB"/>
    <w:rsid w:val="00A47D51"/>
    <w:rsid w:val="00A5064E"/>
    <w:rsid w:val="00A5089D"/>
    <w:rsid w:val="00A50AF5"/>
    <w:rsid w:val="00A50F7E"/>
    <w:rsid w:val="00A51042"/>
    <w:rsid w:val="00A51179"/>
    <w:rsid w:val="00A514E9"/>
    <w:rsid w:val="00A51991"/>
    <w:rsid w:val="00A519AE"/>
    <w:rsid w:val="00A51B5D"/>
    <w:rsid w:val="00A51FE5"/>
    <w:rsid w:val="00A52E47"/>
    <w:rsid w:val="00A533EF"/>
    <w:rsid w:val="00A53869"/>
    <w:rsid w:val="00A53970"/>
    <w:rsid w:val="00A53CB7"/>
    <w:rsid w:val="00A53D90"/>
    <w:rsid w:val="00A5417C"/>
    <w:rsid w:val="00A543CC"/>
    <w:rsid w:val="00A54563"/>
    <w:rsid w:val="00A54654"/>
    <w:rsid w:val="00A54F32"/>
    <w:rsid w:val="00A5550C"/>
    <w:rsid w:val="00A5563A"/>
    <w:rsid w:val="00A55859"/>
    <w:rsid w:val="00A55E47"/>
    <w:rsid w:val="00A565F8"/>
    <w:rsid w:val="00A5749C"/>
    <w:rsid w:val="00A57FDE"/>
    <w:rsid w:val="00A6121E"/>
    <w:rsid w:val="00A61F12"/>
    <w:rsid w:val="00A62B2D"/>
    <w:rsid w:val="00A632AC"/>
    <w:rsid w:val="00A63594"/>
    <w:rsid w:val="00A64959"/>
    <w:rsid w:val="00A64C63"/>
    <w:rsid w:val="00A6527A"/>
    <w:rsid w:val="00A659B7"/>
    <w:rsid w:val="00A65BEA"/>
    <w:rsid w:val="00A6635C"/>
    <w:rsid w:val="00A666F5"/>
    <w:rsid w:val="00A668E6"/>
    <w:rsid w:val="00A66D45"/>
    <w:rsid w:val="00A67954"/>
    <w:rsid w:val="00A67D3B"/>
    <w:rsid w:val="00A67DD9"/>
    <w:rsid w:val="00A67EF2"/>
    <w:rsid w:val="00A71256"/>
    <w:rsid w:val="00A71639"/>
    <w:rsid w:val="00A71CA7"/>
    <w:rsid w:val="00A71E30"/>
    <w:rsid w:val="00A72E1D"/>
    <w:rsid w:val="00A731AF"/>
    <w:rsid w:val="00A73668"/>
    <w:rsid w:val="00A73D50"/>
    <w:rsid w:val="00A73FD1"/>
    <w:rsid w:val="00A741F0"/>
    <w:rsid w:val="00A7427B"/>
    <w:rsid w:val="00A74C6B"/>
    <w:rsid w:val="00A75861"/>
    <w:rsid w:val="00A759DF"/>
    <w:rsid w:val="00A75EE6"/>
    <w:rsid w:val="00A7656E"/>
    <w:rsid w:val="00A7670D"/>
    <w:rsid w:val="00A77884"/>
    <w:rsid w:val="00A779F6"/>
    <w:rsid w:val="00A8026E"/>
    <w:rsid w:val="00A804F1"/>
    <w:rsid w:val="00A80928"/>
    <w:rsid w:val="00A810EE"/>
    <w:rsid w:val="00A8149A"/>
    <w:rsid w:val="00A8211D"/>
    <w:rsid w:val="00A82225"/>
    <w:rsid w:val="00A8376F"/>
    <w:rsid w:val="00A83B71"/>
    <w:rsid w:val="00A83DB0"/>
    <w:rsid w:val="00A840F8"/>
    <w:rsid w:val="00A84D12"/>
    <w:rsid w:val="00A8599E"/>
    <w:rsid w:val="00A86F09"/>
    <w:rsid w:val="00A87BEF"/>
    <w:rsid w:val="00A87EDF"/>
    <w:rsid w:val="00A87EF9"/>
    <w:rsid w:val="00A908F1"/>
    <w:rsid w:val="00A9100A"/>
    <w:rsid w:val="00A913D6"/>
    <w:rsid w:val="00A918F3"/>
    <w:rsid w:val="00A92300"/>
    <w:rsid w:val="00A923D0"/>
    <w:rsid w:val="00A93393"/>
    <w:rsid w:val="00A935DB"/>
    <w:rsid w:val="00A937A9"/>
    <w:rsid w:val="00A93D93"/>
    <w:rsid w:val="00A94B3D"/>
    <w:rsid w:val="00A94E64"/>
    <w:rsid w:val="00A9503C"/>
    <w:rsid w:val="00A9573F"/>
    <w:rsid w:val="00A957C9"/>
    <w:rsid w:val="00A95C4F"/>
    <w:rsid w:val="00A96FDB"/>
    <w:rsid w:val="00A97131"/>
    <w:rsid w:val="00A9743E"/>
    <w:rsid w:val="00A97DE7"/>
    <w:rsid w:val="00A97DEA"/>
    <w:rsid w:val="00AA03F5"/>
    <w:rsid w:val="00AA050F"/>
    <w:rsid w:val="00AA0B38"/>
    <w:rsid w:val="00AA148C"/>
    <w:rsid w:val="00AA1769"/>
    <w:rsid w:val="00AA22DE"/>
    <w:rsid w:val="00AA36C4"/>
    <w:rsid w:val="00AA3913"/>
    <w:rsid w:val="00AA4740"/>
    <w:rsid w:val="00AA4AA5"/>
    <w:rsid w:val="00AA4DB3"/>
    <w:rsid w:val="00AA4FA2"/>
    <w:rsid w:val="00AA56DB"/>
    <w:rsid w:val="00AA6EB9"/>
    <w:rsid w:val="00AA75DB"/>
    <w:rsid w:val="00AA76C0"/>
    <w:rsid w:val="00AA7ABF"/>
    <w:rsid w:val="00AA7E5C"/>
    <w:rsid w:val="00AA7EA4"/>
    <w:rsid w:val="00AB0EEE"/>
    <w:rsid w:val="00AB12D0"/>
    <w:rsid w:val="00AB24D6"/>
    <w:rsid w:val="00AB27C9"/>
    <w:rsid w:val="00AB3979"/>
    <w:rsid w:val="00AB476E"/>
    <w:rsid w:val="00AB5CD7"/>
    <w:rsid w:val="00AB61F6"/>
    <w:rsid w:val="00AB6E44"/>
    <w:rsid w:val="00AB7256"/>
    <w:rsid w:val="00AB7C7D"/>
    <w:rsid w:val="00AB7F27"/>
    <w:rsid w:val="00AC0621"/>
    <w:rsid w:val="00AC0D92"/>
    <w:rsid w:val="00AC1257"/>
    <w:rsid w:val="00AC2780"/>
    <w:rsid w:val="00AC36EB"/>
    <w:rsid w:val="00AC3BCF"/>
    <w:rsid w:val="00AC46AC"/>
    <w:rsid w:val="00AC4842"/>
    <w:rsid w:val="00AC4ABF"/>
    <w:rsid w:val="00AC5711"/>
    <w:rsid w:val="00AC596E"/>
    <w:rsid w:val="00AC5B03"/>
    <w:rsid w:val="00AC5C6F"/>
    <w:rsid w:val="00AC6762"/>
    <w:rsid w:val="00AC6F5E"/>
    <w:rsid w:val="00AC762F"/>
    <w:rsid w:val="00AC791F"/>
    <w:rsid w:val="00AD039C"/>
    <w:rsid w:val="00AD1328"/>
    <w:rsid w:val="00AD19E7"/>
    <w:rsid w:val="00AD2790"/>
    <w:rsid w:val="00AD3F0B"/>
    <w:rsid w:val="00AD53CA"/>
    <w:rsid w:val="00AD5C8A"/>
    <w:rsid w:val="00AD6542"/>
    <w:rsid w:val="00AD6939"/>
    <w:rsid w:val="00AD7625"/>
    <w:rsid w:val="00AE03FB"/>
    <w:rsid w:val="00AE04B0"/>
    <w:rsid w:val="00AE07F3"/>
    <w:rsid w:val="00AE08A4"/>
    <w:rsid w:val="00AE08B1"/>
    <w:rsid w:val="00AE0916"/>
    <w:rsid w:val="00AE1158"/>
    <w:rsid w:val="00AE11F1"/>
    <w:rsid w:val="00AE2848"/>
    <w:rsid w:val="00AE37BE"/>
    <w:rsid w:val="00AE393A"/>
    <w:rsid w:val="00AE3CBC"/>
    <w:rsid w:val="00AE499E"/>
    <w:rsid w:val="00AE4F5C"/>
    <w:rsid w:val="00AE53A0"/>
    <w:rsid w:val="00AE5C21"/>
    <w:rsid w:val="00AE5D53"/>
    <w:rsid w:val="00AE5F94"/>
    <w:rsid w:val="00AE627A"/>
    <w:rsid w:val="00AE6469"/>
    <w:rsid w:val="00AE651E"/>
    <w:rsid w:val="00AE654D"/>
    <w:rsid w:val="00AE658E"/>
    <w:rsid w:val="00AE6860"/>
    <w:rsid w:val="00AE693E"/>
    <w:rsid w:val="00AE6B17"/>
    <w:rsid w:val="00AE6D96"/>
    <w:rsid w:val="00AE7A4D"/>
    <w:rsid w:val="00AE7D5B"/>
    <w:rsid w:val="00AE7EC8"/>
    <w:rsid w:val="00AF0C41"/>
    <w:rsid w:val="00AF102B"/>
    <w:rsid w:val="00AF1323"/>
    <w:rsid w:val="00AF178C"/>
    <w:rsid w:val="00AF1916"/>
    <w:rsid w:val="00AF1B92"/>
    <w:rsid w:val="00AF1F4E"/>
    <w:rsid w:val="00AF2798"/>
    <w:rsid w:val="00AF2A72"/>
    <w:rsid w:val="00AF2B1F"/>
    <w:rsid w:val="00AF32E1"/>
    <w:rsid w:val="00AF3FF4"/>
    <w:rsid w:val="00AF4096"/>
    <w:rsid w:val="00AF4B32"/>
    <w:rsid w:val="00AF4BC8"/>
    <w:rsid w:val="00AF522C"/>
    <w:rsid w:val="00AF57AA"/>
    <w:rsid w:val="00AF6185"/>
    <w:rsid w:val="00AF6480"/>
    <w:rsid w:val="00AF64CC"/>
    <w:rsid w:val="00AF6D6A"/>
    <w:rsid w:val="00AF7723"/>
    <w:rsid w:val="00AF7967"/>
    <w:rsid w:val="00B0019F"/>
    <w:rsid w:val="00B00229"/>
    <w:rsid w:val="00B002A5"/>
    <w:rsid w:val="00B00735"/>
    <w:rsid w:val="00B007F7"/>
    <w:rsid w:val="00B007FC"/>
    <w:rsid w:val="00B01155"/>
    <w:rsid w:val="00B011DF"/>
    <w:rsid w:val="00B01476"/>
    <w:rsid w:val="00B019E8"/>
    <w:rsid w:val="00B0213E"/>
    <w:rsid w:val="00B0323B"/>
    <w:rsid w:val="00B0340D"/>
    <w:rsid w:val="00B037DA"/>
    <w:rsid w:val="00B03D7B"/>
    <w:rsid w:val="00B042CB"/>
    <w:rsid w:val="00B054DA"/>
    <w:rsid w:val="00B05BD5"/>
    <w:rsid w:val="00B05D01"/>
    <w:rsid w:val="00B06E5A"/>
    <w:rsid w:val="00B073B5"/>
    <w:rsid w:val="00B07804"/>
    <w:rsid w:val="00B07AAF"/>
    <w:rsid w:val="00B07DFA"/>
    <w:rsid w:val="00B1009D"/>
    <w:rsid w:val="00B10797"/>
    <w:rsid w:val="00B1094E"/>
    <w:rsid w:val="00B1123B"/>
    <w:rsid w:val="00B113BD"/>
    <w:rsid w:val="00B1146F"/>
    <w:rsid w:val="00B11613"/>
    <w:rsid w:val="00B11F79"/>
    <w:rsid w:val="00B1202A"/>
    <w:rsid w:val="00B13790"/>
    <w:rsid w:val="00B13800"/>
    <w:rsid w:val="00B1389C"/>
    <w:rsid w:val="00B13F99"/>
    <w:rsid w:val="00B1458A"/>
    <w:rsid w:val="00B14862"/>
    <w:rsid w:val="00B14A97"/>
    <w:rsid w:val="00B14C1D"/>
    <w:rsid w:val="00B14EF0"/>
    <w:rsid w:val="00B15390"/>
    <w:rsid w:val="00B1572B"/>
    <w:rsid w:val="00B15A9D"/>
    <w:rsid w:val="00B16A0E"/>
    <w:rsid w:val="00B17CA8"/>
    <w:rsid w:val="00B17CD5"/>
    <w:rsid w:val="00B17EE0"/>
    <w:rsid w:val="00B202B0"/>
    <w:rsid w:val="00B20647"/>
    <w:rsid w:val="00B208C0"/>
    <w:rsid w:val="00B21214"/>
    <w:rsid w:val="00B2263D"/>
    <w:rsid w:val="00B2284B"/>
    <w:rsid w:val="00B2321E"/>
    <w:rsid w:val="00B245A9"/>
    <w:rsid w:val="00B24AF5"/>
    <w:rsid w:val="00B24CAE"/>
    <w:rsid w:val="00B24D5B"/>
    <w:rsid w:val="00B25175"/>
    <w:rsid w:val="00B25AB0"/>
    <w:rsid w:val="00B264B5"/>
    <w:rsid w:val="00B2714D"/>
    <w:rsid w:val="00B2768A"/>
    <w:rsid w:val="00B27811"/>
    <w:rsid w:val="00B30925"/>
    <w:rsid w:val="00B31BF7"/>
    <w:rsid w:val="00B32323"/>
    <w:rsid w:val="00B32914"/>
    <w:rsid w:val="00B32B52"/>
    <w:rsid w:val="00B33408"/>
    <w:rsid w:val="00B33433"/>
    <w:rsid w:val="00B33970"/>
    <w:rsid w:val="00B33AC9"/>
    <w:rsid w:val="00B33B35"/>
    <w:rsid w:val="00B33C69"/>
    <w:rsid w:val="00B34786"/>
    <w:rsid w:val="00B34AD0"/>
    <w:rsid w:val="00B34DF4"/>
    <w:rsid w:val="00B3516C"/>
    <w:rsid w:val="00B353B0"/>
    <w:rsid w:val="00B35A66"/>
    <w:rsid w:val="00B35F04"/>
    <w:rsid w:val="00B37519"/>
    <w:rsid w:val="00B408BA"/>
    <w:rsid w:val="00B4129B"/>
    <w:rsid w:val="00B41821"/>
    <w:rsid w:val="00B41AF9"/>
    <w:rsid w:val="00B42366"/>
    <w:rsid w:val="00B428C9"/>
    <w:rsid w:val="00B429E2"/>
    <w:rsid w:val="00B42E2C"/>
    <w:rsid w:val="00B43958"/>
    <w:rsid w:val="00B43AB5"/>
    <w:rsid w:val="00B4441D"/>
    <w:rsid w:val="00B445F2"/>
    <w:rsid w:val="00B452E2"/>
    <w:rsid w:val="00B45705"/>
    <w:rsid w:val="00B45E19"/>
    <w:rsid w:val="00B46384"/>
    <w:rsid w:val="00B467F1"/>
    <w:rsid w:val="00B4716A"/>
    <w:rsid w:val="00B473E0"/>
    <w:rsid w:val="00B47470"/>
    <w:rsid w:val="00B47611"/>
    <w:rsid w:val="00B476D5"/>
    <w:rsid w:val="00B50F05"/>
    <w:rsid w:val="00B50FD0"/>
    <w:rsid w:val="00B51983"/>
    <w:rsid w:val="00B52877"/>
    <w:rsid w:val="00B52B6E"/>
    <w:rsid w:val="00B532B6"/>
    <w:rsid w:val="00B533B4"/>
    <w:rsid w:val="00B54171"/>
    <w:rsid w:val="00B541D8"/>
    <w:rsid w:val="00B54BCA"/>
    <w:rsid w:val="00B55BA6"/>
    <w:rsid w:val="00B55D7E"/>
    <w:rsid w:val="00B55FB1"/>
    <w:rsid w:val="00B561FA"/>
    <w:rsid w:val="00B5622C"/>
    <w:rsid w:val="00B56B1D"/>
    <w:rsid w:val="00B56F41"/>
    <w:rsid w:val="00B57868"/>
    <w:rsid w:val="00B6094B"/>
    <w:rsid w:val="00B61381"/>
    <w:rsid w:val="00B623A9"/>
    <w:rsid w:val="00B6264A"/>
    <w:rsid w:val="00B62B64"/>
    <w:rsid w:val="00B639A7"/>
    <w:rsid w:val="00B64BFE"/>
    <w:rsid w:val="00B64D47"/>
    <w:rsid w:val="00B64D51"/>
    <w:rsid w:val="00B65086"/>
    <w:rsid w:val="00B654AE"/>
    <w:rsid w:val="00B6591B"/>
    <w:rsid w:val="00B65B9E"/>
    <w:rsid w:val="00B702CF"/>
    <w:rsid w:val="00B7040B"/>
    <w:rsid w:val="00B70547"/>
    <w:rsid w:val="00B70FBD"/>
    <w:rsid w:val="00B71118"/>
    <w:rsid w:val="00B71CE3"/>
    <w:rsid w:val="00B72100"/>
    <w:rsid w:val="00B7211E"/>
    <w:rsid w:val="00B723C8"/>
    <w:rsid w:val="00B72917"/>
    <w:rsid w:val="00B729BD"/>
    <w:rsid w:val="00B73078"/>
    <w:rsid w:val="00B73322"/>
    <w:rsid w:val="00B734E5"/>
    <w:rsid w:val="00B73C9D"/>
    <w:rsid w:val="00B74012"/>
    <w:rsid w:val="00B74506"/>
    <w:rsid w:val="00B74DD5"/>
    <w:rsid w:val="00B75071"/>
    <w:rsid w:val="00B750D5"/>
    <w:rsid w:val="00B7514B"/>
    <w:rsid w:val="00B752DE"/>
    <w:rsid w:val="00B7543F"/>
    <w:rsid w:val="00B75DF2"/>
    <w:rsid w:val="00B75E2E"/>
    <w:rsid w:val="00B75E75"/>
    <w:rsid w:val="00B75FB2"/>
    <w:rsid w:val="00B76591"/>
    <w:rsid w:val="00B76F29"/>
    <w:rsid w:val="00B771B3"/>
    <w:rsid w:val="00B771E2"/>
    <w:rsid w:val="00B77A82"/>
    <w:rsid w:val="00B77C83"/>
    <w:rsid w:val="00B77D8E"/>
    <w:rsid w:val="00B80051"/>
    <w:rsid w:val="00B80395"/>
    <w:rsid w:val="00B80DAA"/>
    <w:rsid w:val="00B80E6E"/>
    <w:rsid w:val="00B813CA"/>
    <w:rsid w:val="00B81DCA"/>
    <w:rsid w:val="00B82C3D"/>
    <w:rsid w:val="00B83D78"/>
    <w:rsid w:val="00B852C9"/>
    <w:rsid w:val="00B864E5"/>
    <w:rsid w:val="00B873AF"/>
    <w:rsid w:val="00B877F7"/>
    <w:rsid w:val="00B87937"/>
    <w:rsid w:val="00B87E0C"/>
    <w:rsid w:val="00B9040F"/>
    <w:rsid w:val="00B90D20"/>
    <w:rsid w:val="00B92034"/>
    <w:rsid w:val="00B920E7"/>
    <w:rsid w:val="00B923D1"/>
    <w:rsid w:val="00B940E8"/>
    <w:rsid w:val="00B943D7"/>
    <w:rsid w:val="00B946CF"/>
    <w:rsid w:val="00B94AD2"/>
    <w:rsid w:val="00B94BE4"/>
    <w:rsid w:val="00B95371"/>
    <w:rsid w:val="00B95541"/>
    <w:rsid w:val="00B9554D"/>
    <w:rsid w:val="00B958B3"/>
    <w:rsid w:val="00B95CBC"/>
    <w:rsid w:val="00B963A8"/>
    <w:rsid w:val="00B963FD"/>
    <w:rsid w:val="00B96475"/>
    <w:rsid w:val="00B964A2"/>
    <w:rsid w:val="00B97998"/>
    <w:rsid w:val="00B9799E"/>
    <w:rsid w:val="00B97BF0"/>
    <w:rsid w:val="00B97D2B"/>
    <w:rsid w:val="00BA0248"/>
    <w:rsid w:val="00BA03B8"/>
    <w:rsid w:val="00BA097C"/>
    <w:rsid w:val="00BA1091"/>
    <w:rsid w:val="00BA16EC"/>
    <w:rsid w:val="00BA1892"/>
    <w:rsid w:val="00BA210A"/>
    <w:rsid w:val="00BA29CE"/>
    <w:rsid w:val="00BA30DD"/>
    <w:rsid w:val="00BA33E7"/>
    <w:rsid w:val="00BA46D6"/>
    <w:rsid w:val="00BA4975"/>
    <w:rsid w:val="00BA4D7E"/>
    <w:rsid w:val="00BA52AC"/>
    <w:rsid w:val="00BA580D"/>
    <w:rsid w:val="00BA5968"/>
    <w:rsid w:val="00BA59B3"/>
    <w:rsid w:val="00BA5FB1"/>
    <w:rsid w:val="00BA6E4B"/>
    <w:rsid w:val="00BA7107"/>
    <w:rsid w:val="00BB020A"/>
    <w:rsid w:val="00BB0835"/>
    <w:rsid w:val="00BB0F12"/>
    <w:rsid w:val="00BB0F7B"/>
    <w:rsid w:val="00BB18E4"/>
    <w:rsid w:val="00BB1EAA"/>
    <w:rsid w:val="00BB20C4"/>
    <w:rsid w:val="00BB226B"/>
    <w:rsid w:val="00BB2F6B"/>
    <w:rsid w:val="00BB38FF"/>
    <w:rsid w:val="00BB42AA"/>
    <w:rsid w:val="00BB4E86"/>
    <w:rsid w:val="00BB5824"/>
    <w:rsid w:val="00BB5A24"/>
    <w:rsid w:val="00BB5AD7"/>
    <w:rsid w:val="00BB5DB4"/>
    <w:rsid w:val="00BB6C5C"/>
    <w:rsid w:val="00BB6D56"/>
    <w:rsid w:val="00BB6D9F"/>
    <w:rsid w:val="00BB71C5"/>
    <w:rsid w:val="00BB73BF"/>
    <w:rsid w:val="00BB75EE"/>
    <w:rsid w:val="00BB7E60"/>
    <w:rsid w:val="00BB7E93"/>
    <w:rsid w:val="00BC0971"/>
    <w:rsid w:val="00BC1492"/>
    <w:rsid w:val="00BC14C4"/>
    <w:rsid w:val="00BC1E43"/>
    <w:rsid w:val="00BC2109"/>
    <w:rsid w:val="00BC2ED1"/>
    <w:rsid w:val="00BC3DE1"/>
    <w:rsid w:val="00BC4048"/>
    <w:rsid w:val="00BC44B4"/>
    <w:rsid w:val="00BC47AD"/>
    <w:rsid w:val="00BC5B49"/>
    <w:rsid w:val="00BC62E1"/>
    <w:rsid w:val="00BC641E"/>
    <w:rsid w:val="00BC7290"/>
    <w:rsid w:val="00BC7AD7"/>
    <w:rsid w:val="00BD100E"/>
    <w:rsid w:val="00BD11CB"/>
    <w:rsid w:val="00BD15CE"/>
    <w:rsid w:val="00BD1727"/>
    <w:rsid w:val="00BD18B9"/>
    <w:rsid w:val="00BD1AE9"/>
    <w:rsid w:val="00BD2049"/>
    <w:rsid w:val="00BD2394"/>
    <w:rsid w:val="00BD3359"/>
    <w:rsid w:val="00BD3562"/>
    <w:rsid w:val="00BD3663"/>
    <w:rsid w:val="00BD48E6"/>
    <w:rsid w:val="00BD49A8"/>
    <w:rsid w:val="00BD4BDC"/>
    <w:rsid w:val="00BD4F2D"/>
    <w:rsid w:val="00BD543E"/>
    <w:rsid w:val="00BD60B5"/>
    <w:rsid w:val="00BD60D9"/>
    <w:rsid w:val="00BD6203"/>
    <w:rsid w:val="00BD6574"/>
    <w:rsid w:val="00BD72B0"/>
    <w:rsid w:val="00BD7395"/>
    <w:rsid w:val="00BE00C6"/>
    <w:rsid w:val="00BE051C"/>
    <w:rsid w:val="00BE0999"/>
    <w:rsid w:val="00BE176A"/>
    <w:rsid w:val="00BE26C4"/>
    <w:rsid w:val="00BE2A81"/>
    <w:rsid w:val="00BE32CD"/>
    <w:rsid w:val="00BE32F2"/>
    <w:rsid w:val="00BE3AF7"/>
    <w:rsid w:val="00BE3F1A"/>
    <w:rsid w:val="00BE4630"/>
    <w:rsid w:val="00BE4814"/>
    <w:rsid w:val="00BE58CA"/>
    <w:rsid w:val="00BE5977"/>
    <w:rsid w:val="00BE69C5"/>
    <w:rsid w:val="00BE6F0B"/>
    <w:rsid w:val="00BE766B"/>
    <w:rsid w:val="00BF0D5C"/>
    <w:rsid w:val="00BF0F07"/>
    <w:rsid w:val="00BF152B"/>
    <w:rsid w:val="00BF1CB0"/>
    <w:rsid w:val="00BF2D6B"/>
    <w:rsid w:val="00BF368E"/>
    <w:rsid w:val="00BF3AE2"/>
    <w:rsid w:val="00BF4A26"/>
    <w:rsid w:val="00BF5996"/>
    <w:rsid w:val="00BF6075"/>
    <w:rsid w:val="00BF6559"/>
    <w:rsid w:val="00BF68F0"/>
    <w:rsid w:val="00BF69EE"/>
    <w:rsid w:val="00BF7134"/>
    <w:rsid w:val="00BF784B"/>
    <w:rsid w:val="00C005C0"/>
    <w:rsid w:val="00C00BEA"/>
    <w:rsid w:val="00C00D7B"/>
    <w:rsid w:val="00C01A63"/>
    <w:rsid w:val="00C01BD8"/>
    <w:rsid w:val="00C02E5F"/>
    <w:rsid w:val="00C03261"/>
    <w:rsid w:val="00C0376F"/>
    <w:rsid w:val="00C03920"/>
    <w:rsid w:val="00C03A55"/>
    <w:rsid w:val="00C03DBF"/>
    <w:rsid w:val="00C0488D"/>
    <w:rsid w:val="00C04A80"/>
    <w:rsid w:val="00C05D42"/>
    <w:rsid w:val="00C06F1F"/>
    <w:rsid w:val="00C0719B"/>
    <w:rsid w:val="00C07BAE"/>
    <w:rsid w:val="00C1009E"/>
    <w:rsid w:val="00C10237"/>
    <w:rsid w:val="00C118FA"/>
    <w:rsid w:val="00C1244E"/>
    <w:rsid w:val="00C12B66"/>
    <w:rsid w:val="00C136AB"/>
    <w:rsid w:val="00C1374E"/>
    <w:rsid w:val="00C13903"/>
    <w:rsid w:val="00C140BA"/>
    <w:rsid w:val="00C142DC"/>
    <w:rsid w:val="00C14586"/>
    <w:rsid w:val="00C145B9"/>
    <w:rsid w:val="00C14765"/>
    <w:rsid w:val="00C14FFA"/>
    <w:rsid w:val="00C15B46"/>
    <w:rsid w:val="00C15EA6"/>
    <w:rsid w:val="00C169E9"/>
    <w:rsid w:val="00C16C33"/>
    <w:rsid w:val="00C17241"/>
    <w:rsid w:val="00C17273"/>
    <w:rsid w:val="00C17BFC"/>
    <w:rsid w:val="00C201D8"/>
    <w:rsid w:val="00C20A65"/>
    <w:rsid w:val="00C20C52"/>
    <w:rsid w:val="00C20C65"/>
    <w:rsid w:val="00C21156"/>
    <w:rsid w:val="00C2191D"/>
    <w:rsid w:val="00C21B6D"/>
    <w:rsid w:val="00C21DD7"/>
    <w:rsid w:val="00C22261"/>
    <w:rsid w:val="00C2279C"/>
    <w:rsid w:val="00C22B9E"/>
    <w:rsid w:val="00C234F4"/>
    <w:rsid w:val="00C23929"/>
    <w:rsid w:val="00C23DC3"/>
    <w:rsid w:val="00C23F59"/>
    <w:rsid w:val="00C24800"/>
    <w:rsid w:val="00C24CEC"/>
    <w:rsid w:val="00C25863"/>
    <w:rsid w:val="00C25D9B"/>
    <w:rsid w:val="00C26C64"/>
    <w:rsid w:val="00C26DA1"/>
    <w:rsid w:val="00C27ED2"/>
    <w:rsid w:val="00C27F8D"/>
    <w:rsid w:val="00C31869"/>
    <w:rsid w:val="00C31D2A"/>
    <w:rsid w:val="00C32542"/>
    <w:rsid w:val="00C32646"/>
    <w:rsid w:val="00C327FF"/>
    <w:rsid w:val="00C329E9"/>
    <w:rsid w:val="00C330E2"/>
    <w:rsid w:val="00C339A1"/>
    <w:rsid w:val="00C339AA"/>
    <w:rsid w:val="00C339ED"/>
    <w:rsid w:val="00C33ECE"/>
    <w:rsid w:val="00C34736"/>
    <w:rsid w:val="00C34A9F"/>
    <w:rsid w:val="00C3523D"/>
    <w:rsid w:val="00C35270"/>
    <w:rsid w:val="00C353B3"/>
    <w:rsid w:val="00C3577C"/>
    <w:rsid w:val="00C3668D"/>
    <w:rsid w:val="00C366A8"/>
    <w:rsid w:val="00C40BB9"/>
    <w:rsid w:val="00C414F0"/>
    <w:rsid w:val="00C41A35"/>
    <w:rsid w:val="00C41D5A"/>
    <w:rsid w:val="00C4300F"/>
    <w:rsid w:val="00C433AE"/>
    <w:rsid w:val="00C43949"/>
    <w:rsid w:val="00C43E67"/>
    <w:rsid w:val="00C44618"/>
    <w:rsid w:val="00C4461B"/>
    <w:rsid w:val="00C44CA8"/>
    <w:rsid w:val="00C44F83"/>
    <w:rsid w:val="00C45CB1"/>
    <w:rsid w:val="00C46032"/>
    <w:rsid w:val="00C46056"/>
    <w:rsid w:val="00C46A1F"/>
    <w:rsid w:val="00C475BA"/>
    <w:rsid w:val="00C47BA1"/>
    <w:rsid w:val="00C47DF3"/>
    <w:rsid w:val="00C51322"/>
    <w:rsid w:val="00C51452"/>
    <w:rsid w:val="00C514DF"/>
    <w:rsid w:val="00C51919"/>
    <w:rsid w:val="00C51A85"/>
    <w:rsid w:val="00C51B76"/>
    <w:rsid w:val="00C520A0"/>
    <w:rsid w:val="00C52235"/>
    <w:rsid w:val="00C52322"/>
    <w:rsid w:val="00C52F21"/>
    <w:rsid w:val="00C53B59"/>
    <w:rsid w:val="00C57035"/>
    <w:rsid w:val="00C57040"/>
    <w:rsid w:val="00C57086"/>
    <w:rsid w:val="00C571CE"/>
    <w:rsid w:val="00C5768F"/>
    <w:rsid w:val="00C57B1B"/>
    <w:rsid w:val="00C60325"/>
    <w:rsid w:val="00C6139D"/>
    <w:rsid w:val="00C616F1"/>
    <w:rsid w:val="00C618A4"/>
    <w:rsid w:val="00C61AA7"/>
    <w:rsid w:val="00C61AEE"/>
    <w:rsid w:val="00C61BCE"/>
    <w:rsid w:val="00C61C0B"/>
    <w:rsid w:val="00C631C8"/>
    <w:rsid w:val="00C63245"/>
    <w:rsid w:val="00C64535"/>
    <w:rsid w:val="00C646F7"/>
    <w:rsid w:val="00C64BDF"/>
    <w:rsid w:val="00C65015"/>
    <w:rsid w:val="00C66154"/>
    <w:rsid w:val="00C66558"/>
    <w:rsid w:val="00C6693E"/>
    <w:rsid w:val="00C66D28"/>
    <w:rsid w:val="00C66F25"/>
    <w:rsid w:val="00C67728"/>
    <w:rsid w:val="00C67BF6"/>
    <w:rsid w:val="00C67E28"/>
    <w:rsid w:val="00C70DE6"/>
    <w:rsid w:val="00C7139E"/>
    <w:rsid w:val="00C71454"/>
    <w:rsid w:val="00C717D3"/>
    <w:rsid w:val="00C719F0"/>
    <w:rsid w:val="00C71A3E"/>
    <w:rsid w:val="00C71EFF"/>
    <w:rsid w:val="00C72F20"/>
    <w:rsid w:val="00C738D1"/>
    <w:rsid w:val="00C73E0B"/>
    <w:rsid w:val="00C73ED4"/>
    <w:rsid w:val="00C74832"/>
    <w:rsid w:val="00C7543E"/>
    <w:rsid w:val="00C77162"/>
    <w:rsid w:val="00C7752F"/>
    <w:rsid w:val="00C801F3"/>
    <w:rsid w:val="00C809F6"/>
    <w:rsid w:val="00C81687"/>
    <w:rsid w:val="00C81FD9"/>
    <w:rsid w:val="00C82259"/>
    <w:rsid w:val="00C8234B"/>
    <w:rsid w:val="00C824B5"/>
    <w:rsid w:val="00C82767"/>
    <w:rsid w:val="00C82859"/>
    <w:rsid w:val="00C82B2A"/>
    <w:rsid w:val="00C82BDE"/>
    <w:rsid w:val="00C83042"/>
    <w:rsid w:val="00C83105"/>
    <w:rsid w:val="00C834A6"/>
    <w:rsid w:val="00C84FF0"/>
    <w:rsid w:val="00C86AAB"/>
    <w:rsid w:val="00C86B22"/>
    <w:rsid w:val="00C86EC4"/>
    <w:rsid w:val="00C86F12"/>
    <w:rsid w:val="00C86F8A"/>
    <w:rsid w:val="00C87ED0"/>
    <w:rsid w:val="00C87FA8"/>
    <w:rsid w:val="00C906CC"/>
    <w:rsid w:val="00C90A59"/>
    <w:rsid w:val="00C91F24"/>
    <w:rsid w:val="00C926B5"/>
    <w:rsid w:val="00C92726"/>
    <w:rsid w:val="00C92D86"/>
    <w:rsid w:val="00C931F1"/>
    <w:rsid w:val="00C93AC9"/>
    <w:rsid w:val="00C93CA9"/>
    <w:rsid w:val="00C9433E"/>
    <w:rsid w:val="00C94EBC"/>
    <w:rsid w:val="00C9568F"/>
    <w:rsid w:val="00C957B5"/>
    <w:rsid w:val="00C96BFE"/>
    <w:rsid w:val="00C96E15"/>
    <w:rsid w:val="00C97A75"/>
    <w:rsid w:val="00C97C83"/>
    <w:rsid w:val="00CA0B53"/>
    <w:rsid w:val="00CA138D"/>
    <w:rsid w:val="00CA2AFC"/>
    <w:rsid w:val="00CA2C4B"/>
    <w:rsid w:val="00CA2DC6"/>
    <w:rsid w:val="00CA40FF"/>
    <w:rsid w:val="00CA49A5"/>
    <w:rsid w:val="00CA5687"/>
    <w:rsid w:val="00CA571D"/>
    <w:rsid w:val="00CA5B71"/>
    <w:rsid w:val="00CA5C84"/>
    <w:rsid w:val="00CA7FFA"/>
    <w:rsid w:val="00CB007E"/>
    <w:rsid w:val="00CB02B6"/>
    <w:rsid w:val="00CB05D9"/>
    <w:rsid w:val="00CB089C"/>
    <w:rsid w:val="00CB10B4"/>
    <w:rsid w:val="00CB1316"/>
    <w:rsid w:val="00CB15FB"/>
    <w:rsid w:val="00CB1D3D"/>
    <w:rsid w:val="00CB296D"/>
    <w:rsid w:val="00CB2BC0"/>
    <w:rsid w:val="00CB2DE5"/>
    <w:rsid w:val="00CB2FD8"/>
    <w:rsid w:val="00CB3C0A"/>
    <w:rsid w:val="00CB55C9"/>
    <w:rsid w:val="00CB560E"/>
    <w:rsid w:val="00CB58E2"/>
    <w:rsid w:val="00CB65BD"/>
    <w:rsid w:val="00CB65EA"/>
    <w:rsid w:val="00CB6613"/>
    <w:rsid w:val="00CB6D0C"/>
    <w:rsid w:val="00CB6E84"/>
    <w:rsid w:val="00CB7097"/>
    <w:rsid w:val="00CB7186"/>
    <w:rsid w:val="00CB7CD9"/>
    <w:rsid w:val="00CB7DD7"/>
    <w:rsid w:val="00CC00D0"/>
    <w:rsid w:val="00CC017A"/>
    <w:rsid w:val="00CC0232"/>
    <w:rsid w:val="00CC03CC"/>
    <w:rsid w:val="00CC07FA"/>
    <w:rsid w:val="00CC0840"/>
    <w:rsid w:val="00CC1570"/>
    <w:rsid w:val="00CC18FB"/>
    <w:rsid w:val="00CC24EA"/>
    <w:rsid w:val="00CC2D1C"/>
    <w:rsid w:val="00CC3271"/>
    <w:rsid w:val="00CC36C3"/>
    <w:rsid w:val="00CC3C4C"/>
    <w:rsid w:val="00CC42F7"/>
    <w:rsid w:val="00CC46CA"/>
    <w:rsid w:val="00CC47BE"/>
    <w:rsid w:val="00CC491F"/>
    <w:rsid w:val="00CC54A9"/>
    <w:rsid w:val="00CC5693"/>
    <w:rsid w:val="00CC57A5"/>
    <w:rsid w:val="00CC59DE"/>
    <w:rsid w:val="00CC5E97"/>
    <w:rsid w:val="00CC6087"/>
    <w:rsid w:val="00CC6284"/>
    <w:rsid w:val="00CC64C5"/>
    <w:rsid w:val="00CC6589"/>
    <w:rsid w:val="00CC7B6C"/>
    <w:rsid w:val="00CC7CEA"/>
    <w:rsid w:val="00CC7F26"/>
    <w:rsid w:val="00CC7F2A"/>
    <w:rsid w:val="00CD0821"/>
    <w:rsid w:val="00CD0986"/>
    <w:rsid w:val="00CD1A86"/>
    <w:rsid w:val="00CD1AFB"/>
    <w:rsid w:val="00CD23BD"/>
    <w:rsid w:val="00CD2521"/>
    <w:rsid w:val="00CD25E6"/>
    <w:rsid w:val="00CD384D"/>
    <w:rsid w:val="00CD3A62"/>
    <w:rsid w:val="00CD3BF1"/>
    <w:rsid w:val="00CD48F1"/>
    <w:rsid w:val="00CD4AA5"/>
    <w:rsid w:val="00CD735F"/>
    <w:rsid w:val="00CD776C"/>
    <w:rsid w:val="00CD7C0A"/>
    <w:rsid w:val="00CE11D3"/>
    <w:rsid w:val="00CE136B"/>
    <w:rsid w:val="00CE148B"/>
    <w:rsid w:val="00CE176E"/>
    <w:rsid w:val="00CE2175"/>
    <w:rsid w:val="00CE2E4C"/>
    <w:rsid w:val="00CE2EA9"/>
    <w:rsid w:val="00CE3090"/>
    <w:rsid w:val="00CE3872"/>
    <w:rsid w:val="00CE39F8"/>
    <w:rsid w:val="00CE3CB9"/>
    <w:rsid w:val="00CE428F"/>
    <w:rsid w:val="00CE5654"/>
    <w:rsid w:val="00CE5A7F"/>
    <w:rsid w:val="00CE5AEB"/>
    <w:rsid w:val="00CE6466"/>
    <w:rsid w:val="00CE71A1"/>
    <w:rsid w:val="00CE765C"/>
    <w:rsid w:val="00CF017A"/>
    <w:rsid w:val="00CF173C"/>
    <w:rsid w:val="00CF1C53"/>
    <w:rsid w:val="00CF214F"/>
    <w:rsid w:val="00CF2657"/>
    <w:rsid w:val="00CF2BB3"/>
    <w:rsid w:val="00CF2DBC"/>
    <w:rsid w:val="00CF2FBC"/>
    <w:rsid w:val="00CF3AA3"/>
    <w:rsid w:val="00CF4081"/>
    <w:rsid w:val="00CF5BEC"/>
    <w:rsid w:val="00CF5E31"/>
    <w:rsid w:val="00CF6A94"/>
    <w:rsid w:val="00CF7AEF"/>
    <w:rsid w:val="00D00357"/>
    <w:rsid w:val="00D00F5B"/>
    <w:rsid w:val="00D01933"/>
    <w:rsid w:val="00D01982"/>
    <w:rsid w:val="00D01C4F"/>
    <w:rsid w:val="00D01D3B"/>
    <w:rsid w:val="00D01F0D"/>
    <w:rsid w:val="00D0222C"/>
    <w:rsid w:val="00D028E8"/>
    <w:rsid w:val="00D038BE"/>
    <w:rsid w:val="00D03A4B"/>
    <w:rsid w:val="00D040C6"/>
    <w:rsid w:val="00D0497B"/>
    <w:rsid w:val="00D04A9F"/>
    <w:rsid w:val="00D04C24"/>
    <w:rsid w:val="00D04FED"/>
    <w:rsid w:val="00D05455"/>
    <w:rsid w:val="00D05506"/>
    <w:rsid w:val="00D0571D"/>
    <w:rsid w:val="00D05997"/>
    <w:rsid w:val="00D05B9B"/>
    <w:rsid w:val="00D05C56"/>
    <w:rsid w:val="00D06478"/>
    <w:rsid w:val="00D0658E"/>
    <w:rsid w:val="00D066D5"/>
    <w:rsid w:val="00D069CC"/>
    <w:rsid w:val="00D06AFA"/>
    <w:rsid w:val="00D071D5"/>
    <w:rsid w:val="00D07AEB"/>
    <w:rsid w:val="00D07C5A"/>
    <w:rsid w:val="00D108E5"/>
    <w:rsid w:val="00D10D56"/>
    <w:rsid w:val="00D111FB"/>
    <w:rsid w:val="00D11765"/>
    <w:rsid w:val="00D117AF"/>
    <w:rsid w:val="00D11C83"/>
    <w:rsid w:val="00D1205E"/>
    <w:rsid w:val="00D126CD"/>
    <w:rsid w:val="00D12793"/>
    <w:rsid w:val="00D1294D"/>
    <w:rsid w:val="00D1303C"/>
    <w:rsid w:val="00D131A2"/>
    <w:rsid w:val="00D131B4"/>
    <w:rsid w:val="00D13DEE"/>
    <w:rsid w:val="00D140A9"/>
    <w:rsid w:val="00D14106"/>
    <w:rsid w:val="00D14836"/>
    <w:rsid w:val="00D14980"/>
    <w:rsid w:val="00D14A16"/>
    <w:rsid w:val="00D14BE4"/>
    <w:rsid w:val="00D16AC6"/>
    <w:rsid w:val="00D16B23"/>
    <w:rsid w:val="00D17443"/>
    <w:rsid w:val="00D17621"/>
    <w:rsid w:val="00D20133"/>
    <w:rsid w:val="00D20628"/>
    <w:rsid w:val="00D209A7"/>
    <w:rsid w:val="00D20E11"/>
    <w:rsid w:val="00D210E7"/>
    <w:rsid w:val="00D2159D"/>
    <w:rsid w:val="00D21840"/>
    <w:rsid w:val="00D22CD5"/>
    <w:rsid w:val="00D22DEA"/>
    <w:rsid w:val="00D22E27"/>
    <w:rsid w:val="00D23273"/>
    <w:rsid w:val="00D23864"/>
    <w:rsid w:val="00D23B58"/>
    <w:rsid w:val="00D245FD"/>
    <w:rsid w:val="00D24C11"/>
    <w:rsid w:val="00D25F54"/>
    <w:rsid w:val="00D2652B"/>
    <w:rsid w:val="00D26666"/>
    <w:rsid w:val="00D26D31"/>
    <w:rsid w:val="00D2728C"/>
    <w:rsid w:val="00D273C3"/>
    <w:rsid w:val="00D2747D"/>
    <w:rsid w:val="00D278D2"/>
    <w:rsid w:val="00D3044D"/>
    <w:rsid w:val="00D30A2D"/>
    <w:rsid w:val="00D30D73"/>
    <w:rsid w:val="00D314B6"/>
    <w:rsid w:val="00D3153D"/>
    <w:rsid w:val="00D31937"/>
    <w:rsid w:val="00D31B10"/>
    <w:rsid w:val="00D32460"/>
    <w:rsid w:val="00D32530"/>
    <w:rsid w:val="00D32F4C"/>
    <w:rsid w:val="00D330D1"/>
    <w:rsid w:val="00D332B8"/>
    <w:rsid w:val="00D33A0C"/>
    <w:rsid w:val="00D34D09"/>
    <w:rsid w:val="00D36A1F"/>
    <w:rsid w:val="00D3708F"/>
    <w:rsid w:val="00D37432"/>
    <w:rsid w:val="00D40BBD"/>
    <w:rsid w:val="00D41120"/>
    <w:rsid w:val="00D41313"/>
    <w:rsid w:val="00D42B26"/>
    <w:rsid w:val="00D42E9D"/>
    <w:rsid w:val="00D43163"/>
    <w:rsid w:val="00D44C24"/>
    <w:rsid w:val="00D45779"/>
    <w:rsid w:val="00D463E9"/>
    <w:rsid w:val="00D46752"/>
    <w:rsid w:val="00D4766D"/>
    <w:rsid w:val="00D47D2E"/>
    <w:rsid w:val="00D5003B"/>
    <w:rsid w:val="00D5148A"/>
    <w:rsid w:val="00D515D4"/>
    <w:rsid w:val="00D51952"/>
    <w:rsid w:val="00D51973"/>
    <w:rsid w:val="00D523DF"/>
    <w:rsid w:val="00D52987"/>
    <w:rsid w:val="00D52D8C"/>
    <w:rsid w:val="00D52E24"/>
    <w:rsid w:val="00D533AB"/>
    <w:rsid w:val="00D543D1"/>
    <w:rsid w:val="00D5449E"/>
    <w:rsid w:val="00D5494C"/>
    <w:rsid w:val="00D54A59"/>
    <w:rsid w:val="00D54ED7"/>
    <w:rsid w:val="00D5535E"/>
    <w:rsid w:val="00D5620C"/>
    <w:rsid w:val="00D56449"/>
    <w:rsid w:val="00D56457"/>
    <w:rsid w:val="00D56AE1"/>
    <w:rsid w:val="00D56B13"/>
    <w:rsid w:val="00D56E7D"/>
    <w:rsid w:val="00D57372"/>
    <w:rsid w:val="00D573DC"/>
    <w:rsid w:val="00D575E7"/>
    <w:rsid w:val="00D5775F"/>
    <w:rsid w:val="00D5797C"/>
    <w:rsid w:val="00D57C3A"/>
    <w:rsid w:val="00D57EB4"/>
    <w:rsid w:val="00D60434"/>
    <w:rsid w:val="00D605B0"/>
    <w:rsid w:val="00D60E08"/>
    <w:rsid w:val="00D61084"/>
    <w:rsid w:val="00D616AA"/>
    <w:rsid w:val="00D618AA"/>
    <w:rsid w:val="00D61B18"/>
    <w:rsid w:val="00D61B9B"/>
    <w:rsid w:val="00D61D99"/>
    <w:rsid w:val="00D61F41"/>
    <w:rsid w:val="00D6269C"/>
    <w:rsid w:val="00D62F8C"/>
    <w:rsid w:val="00D6380D"/>
    <w:rsid w:val="00D63A85"/>
    <w:rsid w:val="00D63BC7"/>
    <w:rsid w:val="00D63FD6"/>
    <w:rsid w:val="00D64874"/>
    <w:rsid w:val="00D649FC"/>
    <w:rsid w:val="00D65CDB"/>
    <w:rsid w:val="00D662BA"/>
    <w:rsid w:val="00D66774"/>
    <w:rsid w:val="00D6680B"/>
    <w:rsid w:val="00D678F4"/>
    <w:rsid w:val="00D70545"/>
    <w:rsid w:val="00D70589"/>
    <w:rsid w:val="00D7179A"/>
    <w:rsid w:val="00D71F0F"/>
    <w:rsid w:val="00D72330"/>
    <w:rsid w:val="00D723AB"/>
    <w:rsid w:val="00D72423"/>
    <w:rsid w:val="00D7272A"/>
    <w:rsid w:val="00D72D5E"/>
    <w:rsid w:val="00D72FD8"/>
    <w:rsid w:val="00D73038"/>
    <w:rsid w:val="00D73307"/>
    <w:rsid w:val="00D7364F"/>
    <w:rsid w:val="00D741F4"/>
    <w:rsid w:val="00D744E9"/>
    <w:rsid w:val="00D7479E"/>
    <w:rsid w:val="00D748B9"/>
    <w:rsid w:val="00D75637"/>
    <w:rsid w:val="00D75AE1"/>
    <w:rsid w:val="00D7616C"/>
    <w:rsid w:val="00D76430"/>
    <w:rsid w:val="00D76509"/>
    <w:rsid w:val="00D76CF9"/>
    <w:rsid w:val="00D76FC6"/>
    <w:rsid w:val="00D8131E"/>
    <w:rsid w:val="00D81C83"/>
    <w:rsid w:val="00D82010"/>
    <w:rsid w:val="00D827CC"/>
    <w:rsid w:val="00D82A71"/>
    <w:rsid w:val="00D83E54"/>
    <w:rsid w:val="00D83EAF"/>
    <w:rsid w:val="00D846A3"/>
    <w:rsid w:val="00D84C44"/>
    <w:rsid w:val="00D84D32"/>
    <w:rsid w:val="00D854DB"/>
    <w:rsid w:val="00D859FE"/>
    <w:rsid w:val="00D8616D"/>
    <w:rsid w:val="00D866B8"/>
    <w:rsid w:val="00D86821"/>
    <w:rsid w:val="00D868E8"/>
    <w:rsid w:val="00D87744"/>
    <w:rsid w:val="00D87F92"/>
    <w:rsid w:val="00D900C4"/>
    <w:rsid w:val="00D907DA"/>
    <w:rsid w:val="00D908E1"/>
    <w:rsid w:val="00D90CE7"/>
    <w:rsid w:val="00D910BF"/>
    <w:rsid w:val="00D91B25"/>
    <w:rsid w:val="00D91B5B"/>
    <w:rsid w:val="00D91E23"/>
    <w:rsid w:val="00D929AF"/>
    <w:rsid w:val="00D92E98"/>
    <w:rsid w:val="00D9331E"/>
    <w:rsid w:val="00D93D74"/>
    <w:rsid w:val="00D94253"/>
    <w:rsid w:val="00D94642"/>
    <w:rsid w:val="00D94798"/>
    <w:rsid w:val="00D94912"/>
    <w:rsid w:val="00D951E6"/>
    <w:rsid w:val="00D95503"/>
    <w:rsid w:val="00D9653F"/>
    <w:rsid w:val="00DA0543"/>
    <w:rsid w:val="00DA10D1"/>
    <w:rsid w:val="00DA226A"/>
    <w:rsid w:val="00DA22CA"/>
    <w:rsid w:val="00DA28B6"/>
    <w:rsid w:val="00DA28D4"/>
    <w:rsid w:val="00DA29DC"/>
    <w:rsid w:val="00DA303C"/>
    <w:rsid w:val="00DA32B3"/>
    <w:rsid w:val="00DA3325"/>
    <w:rsid w:val="00DA3F13"/>
    <w:rsid w:val="00DA4062"/>
    <w:rsid w:val="00DA4467"/>
    <w:rsid w:val="00DA46FB"/>
    <w:rsid w:val="00DA4AF5"/>
    <w:rsid w:val="00DA4C7B"/>
    <w:rsid w:val="00DA50E5"/>
    <w:rsid w:val="00DA52E1"/>
    <w:rsid w:val="00DA5393"/>
    <w:rsid w:val="00DA6386"/>
    <w:rsid w:val="00DA6466"/>
    <w:rsid w:val="00DA72C4"/>
    <w:rsid w:val="00DB06DB"/>
    <w:rsid w:val="00DB0B16"/>
    <w:rsid w:val="00DB0D48"/>
    <w:rsid w:val="00DB1006"/>
    <w:rsid w:val="00DB14D1"/>
    <w:rsid w:val="00DB15A0"/>
    <w:rsid w:val="00DB1B4E"/>
    <w:rsid w:val="00DB1B68"/>
    <w:rsid w:val="00DB2A8B"/>
    <w:rsid w:val="00DB2EE0"/>
    <w:rsid w:val="00DB3032"/>
    <w:rsid w:val="00DB491D"/>
    <w:rsid w:val="00DB5AB8"/>
    <w:rsid w:val="00DB6DB0"/>
    <w:rsid w:val="00DB6E96"/>
    <w:rsid w:val="00DB759E"/>
    <w:rsid w:val="00DB76AD"/>
    <w:rsid w:val="00DB7C32"/>
    <w:rsid w:val="00DC0746"/>
    <w:rsid w:val="00DC0899"/>
    <w:rsid w:val="00DC1AF3"/>
    <w:rsid w:val="00DC1DA2"/>
    <w:rsid w:val="00DC24FF"/>
    <w:rsid w:val="00DC32DD"/>
    <w:rsid w:val="00DC333C"/>
    <w:rsid w:val="00DC3765"/>
    <w:rsid w:val="00DC39E9"/>
    <w:rsid w:val="00DC4796"/>
    <w:rsid w:val="00DC4ED2"/>
    <w:rsid w:val="00DC51F7"/>
    <w:rsid w:val="00DC5507"/>
    <w:rsid w:val="00DC5554"/>
    <w:rsid w:val="00DC5636"/>
    <w:rsid w:val="00DC5909"/>
    <w:rsid w:val="00DC599A"/>
    <w:rsid w:val="00DC63F7"/>
    <w:rsid w:val="00DC65D0"/>
    <w:rsid w:val="00DC7075"/>
    <w:rsid w:val="00DC7191"/>
    <w:rsid w:val="00DC7B83"/>
    <w:rsid w:val="00DC7F54"/>
    <w:rsid w:val="00DD0049"/>
    <w:rsid w:val="00DD016C"/>
    <w:rsid w:val="00DD0291"/>
    <w:rsid w:val="00DD042E"/>
    <w:rsid w:val="00DD0D2B"/>
    <w:rsid w:val="00DD0EAD"/>
    <w:rsid w:val="00DD1078"/>
    <w:rsid w:val="00DD15F7"/>
    <w:rsid w:val="00DD167A"/>
    <w:rsid w:val="00DD16EA"/>
    <w:rsid w:val="00DD224E"/>
    <w:rsid w:val="00DD2A48"/>
    <w:rsid w:val="00DD2CCB"/>
    <w:rsid w:val="00DD3129"/>
    <w:rsid w:val="00DD4615"/>
    <w:rsid w:val="00DD51CF"/>
    <w:rsid w:val="00DD53C5"/>
    <w:rsid w:val="00DD575C"/>
    <w:rsid w:val="00DD65C7"/>
    <w:rsid w:val="00DD75E0"/>
    <w:rsid w:val="00DD7729"/>
    <w:rsid w:val="00DD7CE6"/>
    <w:rsid w:val="00DE00D3"/>
    <w:rsid w:val="00DE0454"/>
    <w:rsid w:val="00DE1610"/>
    <w:rsid w:val="00DE1EAC"/>
    <w:rsid w:val="00DE2107"/>
    <w:rsid w:val="00DE30DF"/>
    <w:rsid w:val="00DE31E8"/>
    <w:rsid w:val="00DE37BE"/>
    <w:rsid w:val="00DE3D3D"/>
    <w:rsid w:val="00DE40F9"/>
    <w:rsid w:val="00DE4656"/>
    <w:rsid w:val="00DE46AF"/>
    <w:rsid w:val="00DE5136"/>
    <w:rsid w:val="00DE5156"/>
    <w:rsid w:val="00DE51DA"/>
    <w:rsid w:val="00DE6097"/>
    <w:rsid w:val="00DE6250"/>
    <w:rsid w:val="00DE65D9"/>
    <w:rsid w:val="00DE6EFE"/>
    <w:rsid w:val="00DE76C0"/>
    <w:rsid w:val="00DF00A9"/>
    <w:rsid w:val="00DF0168"/>
    <w:rsid w:val="00DF06CE"/>
    <w:rsid w:val="00DF0F68"/>
    <w:rsid w:val="00DF137E"/>
    <w:rsid w:val="00DF1DBF"/>
    <w:rsid w:val="00DF2847"/>
    <w:rsid w:val="00DF2960"/>
    <w:rsid w:val="00DF2C97"/>
    <w:rsid w:val="00DF2E9C"/>
    <w:rsid w:val="00DF351B"/>
    <w:rsid w:val="00DF35C4"/>
    <w:rsid w:val="00DF3B83"/>
    <w:rsid w:val="00DF3C3E"/>
    <w:rsid w:val="00DF3F54"/>
    <w:rsid w:val="00DF4878"/>
    <w:rsid w:val="00DF4C70"/>
    <w:rsid w:val="00DF4FDF"/>
    <w:rsid w:val="00DF501F"/>
    <w:rsid w:val="00DF5BF1"/>
    <w:rsid w:val="00DF5CEE"/>
    <w:rsid w:val="00DF600B"/>
    <w:rsid w:val="00DF6195"/>
    <w:rsid w:val="00DF639A"/>
    <w:rsid w:val="00DF734C"/>
    <w:rsid w:val="00DF7495"/>
    <w:rsid w:val="00DF7AF7"/>
    <w:rsid w:val="00DF7B35"/>
    <w:rsid w:val="00E003FD"/>
    <w:rsid w:val="00E00A22"/>
    <w:rsid w:val="00E00B0A"/>
    <w:rsid w:val="00E00B31"/>
    <w:rsid w:val="00E00E6B"/>
    <w:rsid w:val="00E012A6"/>
    <w:rsid w:val="00E01965"/>
    <w:rsid w:val="00E01DEB"/>
    <w:rsid w:val="00E0261C"/>
    <w:rsid w:val="00E0287A"/>
    <w:rsid w:val="00E02E9E"/>
    <w:rsid w:val="00E03307"/>
    <w:rsid w:val="00E03868"/>
    <w:rsid w:val="00E042C1"/>
    <w:rsid w:val="00E0486A"/>
    <w:rsid w:val="00E04CE7"/>
    <w:rsid w:val="00E050D3"/>
    <w:rsid w:val="00E05DF2"/>
    <w:rsid w:val="00E06CD4"/>
    <w:rsid w:val="00E06EC3"/>
    <w:rsid w:val="00E07403"/>
    <w:rsid w:val="00E078D9"/>
    <w:rsid w:val="00E10B54"/>
    <w:rsid w:val="00E10E79"/>
    <w:rsid w:val="00E11053"/>
    <w:rsid w:val="00E111B0"/>
    <w:rsid w:val="00E11401"/>
    <w:rsid w:val="00E115A5"/>
    <w:rsid w:val="00E1224F"/>
    <w:rsid w:val="00E12ACC"/>
    <w:rsid w:val="00E1304F"/>
    <w:rsid w:val="00E130EE"/>
    <w:rsid w:val="00E13238"/>
    <w:rsid w:val="00E135B6"/>
    <w:rsid w:val="00E14258"/>
    <w:rsid w:val="00E15E9B"/>
    <w:rsid w:val="00E1671F"/>
    <w:rsid w:val="00E16A49"/>
    <w:rsid w:val="00E16C1F"/>
    <w:rsid w:val="00E16C93"/>
    <w:rsid w:val="00E16C9A"/>
    <w:rsid w:val="00E170C2"/>
    <w:rsid w:val="00E17BFC"/>
    <w:rsid w:val="00E2037C"/>
    <w:rsid w:val="00E205E2"/>
    <w:rsid w:val="00E209E2"/>
    <w:rsid w:val="00E20AE5"/>
    <w:rsid w:val="00E21DBC"/>
    <w:rsid w:val="00E220CA"/>
    <w:rsid w:val="00E221EB"/>
    <w:rsid w:val="00E2297D"/>
    <w:rsid w:val="00E22C82"/>
    <w:rsid w:val="00E234CC"/>
    <w:rsid w:val="00E23625"/>
    <w:rsid w:val="00E23763"/>
    <w:rsid w:val="00E23D2A"/>
    <w:rsid w:val="00E23D61"/>
    <w:rsid w:val="00E23E11"/>
    <w:rsid w:val="00E245B5"/>
    <w:rsid w:val="00E25CCD"/>
    <w:rsid w:val="00E268DC"/>
    <w:rsid w:val="00E2703C"/>
    <w:rsid w:val="00E2714B"/>
    <w:rsid w:val="00E27F98"/>
    <w:rsid w:val="00E3078A"/>
    <w:rsid w:val="00E309B5"/>
    <w:rsid w:val="00E31983"/>
    <w:rsid w:val="00E3228C"/>
    <w:rsid w:val="00E32C01"/>
    <w:rsid w:val="00E32DC5"/>
    <w:rsid w:val="00E32E97"/>
    <w:rsid w:val="00E33337"/>
    <w:rsid w:val="00E335CE"/>
    <w:rsid w:val="00E335D4"/>
    <w:rsid w:val="00E339F2"/>
    <w:rsid w:val="00E33ACF"/>
    <w:rsid w:val="00E33C2C"/>
    <w:rsid w:val="00E33D63"/>
    <w:rsid w:val="00E34171"/>
    <w:rsid w:val="00E3456D"/>
    <w:rsid w:val="00E35DAF"/>
    <w:rsid w:val="00E363D8"/>
    <w:rsid w:val="00E36612"/>
    <w:rsid w:val="00E367B3"/>
    <w:rsid w:val="00E3715C"/>
    <w:rsid w:val="00E3733E"/>
    <w:rsid w:val="00E4074B"/>
    <w:rsid w:val="00E417D6"/>
    <w:rsid w:val="00E41CB9"/>
    <w:rsid w:val="00E42AFB"/>
    <w:rsid w:val="00E43212"/>
    <w:rsid w:val="00E43D91"/>
    <w:rsid w:val="00E4438F"/>
    <w:rsid w:val="00E44412"/>
    <w:rsid w:val="00E45261"/>
    <w:rsid w:val="00E45435"/>
    <w:rsid w:val="00E4613B"/>
    <w:rsid w:val="00E463F5"/>
    <w:rsid w:val="00E46542"/>
    <w:rsid w:val="00E46970"/>
    <w:rsid w:val="00E47F4A"/>
    <w:rsid w:val="00E50A2A"/>
    <w:rsid w:val="00E50D33"/>
    <w:rsid w:val="00E51241"/>
    <w:rsid w:val="00E51678"/>
    <w:rsid w:val="00E51EF8"/>
    <w:rsid w:val="00E52039"/>
    <w:rsid w:val="00E532BA"/>
    <w:rsid w:val="00E53FD4"/>
    <w:rsid w:val="00E541AE"/>
    <w:rsid w:val="00E543E9"/>
    <w:rsid w:val="00E5764C"/>
    <w:rsid w:val="00E57777"/>
    <w:rsid w:val="00E57D48"/>
    <w:rsid w:val="00E6089C"/>
    <w:rsid w:val="00E6182F"/>
    <w:rsid w:val="00E622DB"/>
    <w:rsid w:val="00E62350"/>
    <w:rsid w:val="00E62A66"/>
    <w:rsid w:val="00E62E67"/>
    <w:rsid w:val="00E62F12"/>
    <w:rsid w:val="00E62F6C"/>
    <w:rsid w:val="00E63297"/>
    <w:rsid w:val="00E63AA1"/>
    <w:rsid w:val="00E64250"/>
    <w:rsid w:val="00E64BB5"/>
    <w:rsid w:val="00E65AB9"/>
    <w:rsid w:val="00E65F9C"/>
    <w:rsid w:val="00E65FC3"/>
    <w:rsid w:val="00E66CDC"/>
    <w:rsid w:val="00E677C0"/>
    <w:rsid w:val="00E67F8E"/>
    <w:rsid w:val="00E70FB9"/>
    <w:rsid w:val="00E71593"/>
    <w:rsid w:val="00E71A34"/>
    <w:rsid w:val="00E71B80"/>
    <w:rsid w:val="00E720E4"/>
    <w:rsid w:val="00E721C7"/>
    <w:rsid w:val="00E72355"/>
    <w:rsid w:val="00E723C0"/>
    <w:rsid w:val="00E7243B"/>
    <w:rsid w:val="00E7244A"/>
    <w:rsid w:val="00E72ADF"/>
    <w:rsid w:val="00E72CD8"/>
    <w:rsid w:val="00E73297"/>
    <w:rsid w:val="00E7366C"/>
    <w:rsid w:val="00E738B2"/>
    <w:rsid w:val="00E73AB2"/>
    <w:rsid w:val="00E740A4"/>
    <w:rsid w:val="00E754BE"/>
    <w:rsid w:val="00E76802"/>
    <w:rsid w:val="00E77144"/>
    <w:rsid w:val="00E77203"/>
    <w:rsid w:val="00E7729D"/>
    <w:rsid w:val="00E777D3"/>
    <w:rsid w:val="00E77C87"/>
    <w:rsid w:val="00E80506"/>
    <w:rsid w:val="00E8196B"/>
    <w:rsid w:val="00E829EB"/>
    <w:rsid w:val="00E8324D"/>
    <w:rsid w:val="00E8343C"/>
    <w:rsid w:val="00E84078"/>
    <w:rsid w:val="00E8415B"/>
    <w:rsid w:val="00E84DC9"/>
    <w:rsid w:val="00E85DEC"/>
    <w:rsid w:val="00E8621D"/>
    <w:rsid w:val="00E8647C"/>
    <w:rsid w:val="00E86AFE"/>
    <w:rsid w:val="00E86D71"/>
    <w:rsid w:val="00E87935"/>
    <w:rsid w:val="00E90988"/>
    <w:rsid w:val="00E92D1E"/>
    <w:rsid w:val="00E932D6"/>
    <w:rsid w:val="00E93809"/>
    <w:rsid w:val="00E93898"/>
    <w:rsid w:val="00E938C9"/>
    <w:rsid w:val="00E93CAD"/>
    <w:rsid w:val="00E94E05"/>
    <w:rsid w:val="00E9571E"/>
    <w:rsid w:val="00E965EF"/>
    <w:rsid w:val="00E96847"/>
    <w:rsid w:val="00E96F66"/>
    <w:rsid w:val="00E971C9"/>
    <w:rsid w:val="00E97A64"/>
    <w:rsid w:val="00E97F30"/>
    <w:rsid w:val="00EA0F74"/>
    <w:rsid w:val="00EA14A1"/>
    <w:rsid w:val="00EA16B0"/>
    <w:rsid w:val="00EA272B"/>
    <w:rsid w:val="00EA2AFC"/>
    <w:rsid w:val="00EA2CF2"/>
    <w:rsid w:val="00EA31A4"/>
    <w:rsid w:val="00EA3696"/>
    <w:rsid w:val="00EA3BFE"/>
    <w:rsid w:val="00EA3C54"/>
    <w:rsid w:val="00EA42E3"/>
    <w:rsid w:val="00EA4D4F"/>
    <w:rsid w:val="00EA4F29"/>
    <w:rsid w:val="00EA5AA0"/>
    <w:rsid w:val="00EA5F24"/>
    <w:rsid w:val="00EA61B7"/>
    <w:rsid w:val="00EA6495"/>
    <w:rsid w:val="00EA6979"/>
    <w:rsid w:val="00EA69B7"/>
    <w:rsid w:val="00EA6A52"/>
    <w:rsid w:val="00EA6E02"/>
    <w:rsid w:val="00EA737A"/>
    <w:rsid w:val="00EA74D1"/>
    <w:rsid w:val="00EA7AA2"/>
    <w:rsid w:val="00EA7D68"/>
    <w:rsid w:val="00EB02CC"/>
    <w:rsid w:val="00EB0652"/>
    <w:rsid w:val="00EB0E80"/>
    <w:rsid w:val="00EB1E61"/>
    <w:rsid w:val="00EB233E"/>
    <w:rsid w:val="00EB2437"/>
    <w:rsid w:val="00EB2937"/>
    <w:rsid w:val="00EB2B7F"/>
    <w:rsid w:val="00EB2E00"/>
    <w:rsid w:val="00EB317A"/>
    <w:rsid w:val="00EB505E"/>
    <w:rsid w:val="00EB53CC"/>
    <w:rsid w:val="00EB5908"/>
    <w:rsid w:val="00EB605A"/>
    <w:rsid w:val="00EB6199"/>
    <w:rsid w:val="00EB7733"/>
    <w:rsid w:val="00EB7A21"/>
    <w:rsid w:val="00EB7B30"/>
    <w:rsid w:val="00EC0669"/>
    <w:rsid w:val="00EC147D"/>
    <w:rsid w:val="00EC155A"/>
    <w:rsid w:val="00EC1DE5"/>
    <w:rsid w:val="00EC2634"/>
    <w:rsid w:val="00EC265E"/>
    <w:rsid w:val="00EC2E52"/>
    <w:rsid w:val="00EC301C"/>
    <w:rsid w:val="00EC3444"/>
    <w:rsid w:val="00EC429B"/>
    <w:rsid w:val="00EC49BA"/>
    <w:rsid w:val="00EC4F4E"/>
    <w:rsid w:val="00EC598A"/>
    <w:rsid w:val="00EC6024"/>
    <w:rsid w:val="00EC7918"/>
    <w:rsid w:val="00EC7D47"/>
    <w:rsid w:val="00ED0775"/>
    <w:rsid w:val="00ED09E3"/>
    <w:rsid w:val="00ED1230"/>
    <w:rsid w:val="00ED135D"/>
    <w:rsid w:val="00ED14E0"/>
    <w:rsid w:val="00ED235E"/>
    <w:rsid w:val="00ED2A7B"/>
    <w:rsid w:val="00ED36E2"/>
    <w:rsid w:val="00ED3DB2"/>
    <w:rsid w:val="00ED44C4"/>
    <w:rsid w:val="00ED4B86"/>
    <w:rsid w:val="00ED4DAF"/>
    <w:rsid w:val="00ED520B"/>
    <w:rsid w:val="00ED600B"/>
    <w:rsid w:val="00ED66A9"/>
    <w:rsid w:val="00ED6A40"/>
    <w:rsid w:val="00ED7790"/>
    <w:rsid w:val="00ED77B9"/>
    <w:rsid w:val="00EE0865"/>
    <w:rsid w:val="00EE097D"/>
    <w:rsid w:val="00EE2CAF"/>
    <w:rsid w:val="00EE34CA"/>
    <w:rsid w:val="00EE3742"/>
    <w:rsid w:val="00EE38CF"/>
    <w:rsid w:val="00EE441E"/>
    <w:rsid w:val="00EE46AA"/>
    <w:rsid w:val="00EE4CBB"/>
    <w:rsid w:val="00EE50C6"/>
    <w:rsid w:val="00EE511B"/>
    <w:rsid w:val="00EE56BF"/>
    <w:rsid w:val="00EE6045"/>
    <w:rsid w:val="00EE6091"/>
    <w:rsid w:val="00EE7591"/>
    <w:rsid w:val="00EE7BF2"/>
    <w:rsid w:val="00EE7E2E"/>
    <w:rsid w:val="00EE7EAA"/>
    <w:rsid w:val="00EF015F"/>
    <w:rsid w:val="00EF0226"/>
    <w:rsid w:val="00EF1C16"/>
    <w:rsid w:val="00EF2BE6"/>
    <w:rsid w:val="00EF3294"/>
    <w:rsid w:val="00EF3CA5"/>
    <w:rsid w:val="00EF5520"/>
    <w:rsid w:val="00EF5631"/>
    <w:rsid w:val="00EF5DFF"/>
    <w:rsid w:val="00EF65CC"/>
    <w:rsid w:val="00EF66C9"/>
    <w:rsid w:val="00EF781A"/>
    <w:rsid w:val="00EF7DF2"/>
    <w:rsid w:val="00F01417"/>
    <w:rsid w:val="00F0145A"/>
    <w:rsid w:val="00F0170C"/>
    <w:rsid w:val="00F01710"/>
    <w:rsid w:val="00F01B92"/>
    <w:rsid w:val="00F027C2"/>
    <w:rsid w:val="00F02B9E"/>
    <w:rsid w:val="00F02D9E"/>
    <w:rsid w:val="00F032AF"/>
    <w:rsid w:val="00F03B55"/>
    <w:rsid w:val="00F03FD4"/>
    <w:rsid w:val="00F04004"/>
    <w:rsid w:val="00F04271"/>
    <w:rsid w:val="00F0456B"/>
    <w:rsid w:val="00F04765"/>
    <w:rsid w:val="00F048DA"/>
    <w:rsid w:val="00F0514C"/>
    <w:rsid w:val="00F05246"/>
    <w:rsid w:val="00F0679E"/>
    <w:rsid w:val="00F06AA7"/>
    <w:rsid w:val="00F06AE2"/>
    <w:rsid w:val="00F073AF"/>
    <w:rsid w:val="00F076D3"/>
    <w:rsid w:val="00F07E97"/>
    <w:rsid w:val="00F100BB"/>
    <w:rsid w:val="00F104EC"/>
    <w:rsid w:val="00F105D4"/>
    <w:rsid w:val="00F105FA"/>
    <w:rsid w:val="00F10B9D"/>
    <w:rsid w:val="00F11472"/>
    <w:rsid w:val="00F1169C"/>
    <w:rsid w:val="00F1174D"/>
    <w:rsid w:val="00F11C00"/>
    <w:rsid w:val="00F11C14"/>
    <w:rsid w:val="00F11CDC"/>
    <w:rsid w:val="00F1206A"/>
    <w:rsid w:val="00F120F4"/>
    <w:rsid w:val="00F12527"/>
    <w:rsid w:val="00F12A21"/>
    <w:rsid w:val="00F130BE"/>
    <w:rsid w:val="00F13689"/>
    <w:rsid w:val="00F13D24"/>
    <w:rsid w:val="00F13DC6"/>
    <w:rsid w:val="00F14B72"/>
    <w:rsid w:val="00F15094"/>
    <w:rsid w:val="00F157A6"/>
    <w:rsid w:val="00F165E2"/>
    <w:rsid w:val="00F174D3"/>
    <w:rsid w:val="00F17528"/>
    <w:rsid w:val="00F178D3"/>
    <w:rsid w:val="00F17AA6"/>
    <w:rsid w:val="00F17B67"/>
    <w:rsid w:val="00F17D70"/>
    <w:rsid w:val="00F22118"/>
    <w:rsid w:val="00F223CC"/>
    <w:rsid w:val="00F2337F"/>
    <w:rsid w:val="00F24DCE"/>
    <w:rsid w:val="00F256C3"/>
    <w:rsid w:val="00F25EEF"/>
    <w:rsid w:val="00F25F72"/>
    <w:rsid w:val="00F26028"/>
    <w:rsid w:val="00F265FD"/>
    <w:rsid w:val="00F273E1"/>
    <w:rsid w:val="00F274F5"/>
    <w:rsid w:val="00F27F9D"/>
    <w:rsid w:val="00F30388"/>
    <w:rsid w:val="00F304FB"/>
    <w:rsid w:val="00F307AA"/>
    <w:rsid w:val="00F30BF0"/>
    <w:rsid w:val="00F30E91"/>
    <w:rsid w:val="00F31902"/>
    <w:rsid w:val="00F3221F"/>
    <w:rsid w:val="00F326D8"/>
    <w:rsid w:val="00F32AA9"/>
    <w:rsid w:val="00F32EB8"/>
    <w:rsid w:val="00F331CB"/>
    <w:rsid w:val="00F3377D"/>
    <w:rsid w:val="00F33F43"/>
    <w:rsid w:val="00F33F74"/>
    <w:rsid w:val="00F341E7"/>
    <w:rsid w:val="00F34655"/>
    <w:rsid w:val="00F34BB4"/>
    <w:rsid w:val="00F34D91"/>
    <w:rsid w:val="00F35420"/>
    <w:rsid w:val="00F355B5"/>
    <w:rsid w:val="00F35D62"/>
    <w:rsid w:val="00F3667A"/>
    <w:rsid w:val="00F36F33"/>
    <w:rsid w:val="00F37476"/>
    <w:rsid w:val="00F40BD8"/>
    <w:rsid w:val="00F41982"/>
    <w:rsid w:val="00F42462"/>
    <w:rsid w:val="00F42629"/>
    <w:rsid w:val="00F4277C"/>
    <w:rsid w:val="00F42959"/>
    <w:rsid w:val="00F42971"/>
    <w:rsid w:val="00F4338A"/>
    <w:rsid w:val="00F43608"/>
    <w:rsid w:val="00F43F38"/>
    <w:rsid w:val="00F44011"/>
    <w:rsid w:val="00F44D89"/>
    <w:rsid w:val="00F46C61"/>
    <w:rsid w:val="00F4717C"/>
    <w:rsid w:val="00F47236"/>
    <w:rsid w:val="00F47889"/>
    <w:rsid w:val="00F47FF9"/>
    <w:rsid w:val="00F50461"/>
    <w:rsid w:val="00F51A09"/>
    <w:rsid w:val="00F51A6A"/>
    <w:rsid w:val="00F521A2"/>
    <w:rsid w:val="00F52783"/>
    <w:rsid w:val="00F52D66"/>
    <w:rsid w:val="00F541FC"/>
    <w:rsid w:val="00F5454A"/>
    <w:rsid w:val="00F55166"/>
    <w:rsid w:val="00F55662"/>
    <w:rsid w:val="00F55D60"/>
    <w:rsid w:val="00F55E27"/>
    <w:rsid w:val="00F55FBD"/>
    <w:rsid w:val="00F570B5"/>
    <w:rsid w:val="00F5787E"/>
    <w:rsid w:val="00F57A8B"/>
    <w:rsid w:val="00F60771"/>
    <w:rsid w:val="00F615E3"/>
    <w:rsid w:val="00F616CF"/>
    <w:rsid w:val="00F61ABD"/>
    <w:rsid w:val="00F621DE"/>
    <w:rsid w:val="00F62256"/>
    <w:rsid w:val="00F62547"/>
    <w:rsid w:val="00F626A5"/>
    <w:rsid w:val="00F626BF"/>
    <w:rsid w:val="00F6278B"/>
    <w:rsid w:val="00F627BA"/>
    <w:rsid w:val="00F62E27"/>
    <w:rsid w:val="00F640C7"/>
    <w:rsid w:val="00F64246"/>
    <w:rsid w:val="00F65C47"/>
    <w:rsid w:val="00F66136"/>
    <w:rsid w:val="00F66B70"/>
    <w:rsid w:val="00F66CC1"/>
    <w:rsid w:val="00F6763E"/>
    <w:rsid w:val="00F7028B"/>
    <w:rsid w:val="00F7112F"/>
    <w:rsid w:val="00F71518"/>
    <w:rsid w:val="00F71824"/>
    <w:rsid w:val="00F7239E"/>
    <w:rsid w:val="00F725D7"/>
    <w:rsid w:val="00F72826"/>
    <w:rsid w:val="00F72D23"/>
    <w:rsid w:val="00F73416"/>
    <w:rsid w:val="00F73456"/>
    <w:rsid w:val="00F737B8"/>
    <w:rsid w:val="00F73A2C"/>
    <w:rsid w:val="00F73C2C"/>
    <w:rsid w:val="00F74CF4"/>
    <w:rsid w:val="00F75257"/>
    <w:rsid w:val="00F76167"/>
    <w:rsid w:val="00F76C11"/>
    <w:rsid w:val="00F76D01"/>
    <w:rsid w:val="00F779B4"/>
    <w:rsid w:val="00F77A87"/>
    <w:rsid w:val="00F77D5A"/>
    <w:rsid w:val="00F77D6A"/>
    <w:rsid w:val="00F8001A"/>
    <w:rsid w:val="00F80374"/>
    <w:rsid w:val="00F8079F"/>
    <w:rsid w:val="00F8097D"/>
    <w:rsid w:val="00F809B9"/>
    <w:rsid w:val="00F80ADF"/>
    <w:rsid w:val="00F80D1F"/>
    <w:rsid w:val="00F81C24"/>
    <w:rsid w:val="00F81F86"/>
    <w:rsid w:val="00F8258A"/>
    <w:rsid w:val="00F841A9"/>
    <w:rsid w:val="00F84A9B"/>
    <w:rsid w:val="00F85004"/>
    <w:rsid w:val="00F852CC"/>
    <w:rsid w:val="00F8558C"/>
    <w:rsid w:val="00F8586F"/>
    <w:rsid w:val="00F86C61"/>
    <w:rsid w:val="00F8746A"/>
    <w:rsid w:val="00F879AF"/>
    <w:rsid w:val="00F90B8D"/>
    <w:rsid w:val="00F90BE0"/>
    <w:rsid w:val="00F9139D"/>
    <w:rsid w:val="00F919FD"/>
    <w:rsid w:val="00F91AED"/>
    <w:rsid w:val="00F9229D"/>
    <w:rsid w:val="00F930A2"/>
    <w:rsid w:val="00F93BF3"/>
    <w:rsid w:val="00F94219"/>
    <w:rsid w:val="00F9461F"/>
    <w:rsid w:val="00F94DBF"/>
    <w:rsid w:val="00F9567F"/>
    <w:rsid w:val="00F957F7"/>
    <w:rsid w:val="00F95990"/>
    <w:rsid w:val="00F95BE4"/>
    <w:rsid w:val="00F9689A"/>
    <w:rsid w:val="00F96BFD"/>
    <w:rsid w:val="00F96D6A"/>
    <w:rsid w:val="00F971B6"/>
    <w:rsid w:val="00F97E6C"/>
    <w:rsid w:val="00F97F7D"/>
    <w:rsid w:val="00FA025F"/>
    <w:rsid w:val="00FA14AF"/>
    <w:rsid w:val="00FA1737"/>
    <w:rsid w:val="00FA2946"/>
    <w:rsid w:val="00FA3845"/>
    <w:rsid w:val="00FA3CFF"/>
    <w:rsid w:val="00FA4433"/>
    <w:rsid w:val="00FA46F2"/>
    <w:rsid w:val="00FA48D6"/>
    <w:rsid w:val="00FA4A05"/>
    <w:rsid w:val="00FA4C76"/>
    <w:rsid w:val="00FA4FD3"/>
    <w:rsid w:val="00FA5909"/>
    <w:rsid w:val="00FA6483"/>
    <w:rsid w:val="00FA6B2B"/>
    <w:rsid w:val="00FA6C25"/>
    <w:rsid w:val="00FA6C4B"/>
    <w:rsid w:val="00FA6EA9"/>
    <w:rsid w:val="00FA7170"/>
    <w:rsid w:val="00FA717F"/>
    <w:rsid w:val="00FB0D79"/>
    <w:rsid w:val="00FB1D95"/>
    <w:rsid w:val="00FB2E5D"/>
    <w:rsid w:val="00FB324E"/>
    <w:rsid w:val="00FB334A"/>
    <w:rsid w:val="00FB35DB"/>
    <w:rsid w:val="00FB4579"/>
    <w:rsid w:val="00FB4CF3"/>
    <w:rsid w:val="00FB4E86"/>
    <w:rsid w:val="00FB4FBC"/>
    <w:rsid w:val="00FB55A9"/>
    <w:rsid w:val="00FB5ABB"/>
    <w:rsid w:val="00FB5F7E"/>
    <w:rsid w:val="00FB68B2"/>
    <w:rsid w:val="00FB6C8F"/>
    <w:rsid w:val="00FB6D1E"/>
    <w:rsid w:val="00FB721A"/>
    <w:rsid w:val="00FB7501"/>
    <w:rsid w:val="00FB76E8"/>
    <w:rsid w:val="00FB79B3"/>
    <w:rsid w:val="00FB7BCA"/>
    <w:rsid w:val="00FB7CA6"/>
    <w:rsid w:val="00FB7E76"/>
    <w:rsid w:val="00FC0309"/>
    <w:rsid w:val="00FC03FE"/>
    <w:rsid w:val="00FC0560"/>
    <w:rsid w:val="00FC07E7"/>
    <w:rsid w:val="00FC081E"/>
    <w:rsid w:val="00FC091D"/>
    <w:rsid w:val="00FC162F"/>
    <w:rsid w:val="00FC1829"/>
    <w:rsid w:val="00FC317E"/>
    <w:rsid w:val="00FC3C53"/>
    <w:rsid w:val="00FC3C9D"/>
    <w:rsid w:val="00FC424C"/>
    <w:rsid w:val="00FC4788"/>
    <w:rsid w:val="00FC4FA0"/>
    <w:rsid w:val="00FC5DE2"/>
    <w:rsid w:val="00FC5F93"/>
    <w:rsid w:val="00FC5F9D"/>
    <w:rsid w:val="00FC616E"/>
    <w:rsid w:val="00FC643D"/>
    <w:rsid w:val="00FC668F"/>
    <w:rsid w:val="00FC6E5A"/>
    <w:rsid w:val="00FC7008"/>
    <w:rsid w:val="00FC7078"/>
    <w:rsid w:val="00FC7081"/>
    <w:rsid w:val="00FC74D6"/>
    <w:rsid w:val="00FC7A65"/>
    <w:rsid w:val="00FC7BF3"/>
    <w:rsid w:val="00FD097E"/>
    <w:rsid w:val="00FD157C"/>
    <w:rsid w:val="00FD1E5F"/>
    <w:rsid w:val="00FD20C1"/>
    <w:rsid w:val="00FD23BA"/>
    <w:rsid w:val="00FD2A25"/>
    <w:rsid w:val="00FD2B93"/>
    <w:rsid w:val="00FD2D50"/>
    <w:rsid w:val="00FD2DC2"/>
    <w:rsid w:val="00FD37FB"/>
    <w:rsid w:val="00FD4514"/>
    <w:rsid w:val="00FD4B04"/>
    <w:rsid w:val="00FD4C3B"/>
    <w:rsid w:val="00FD5001"/>
    <w:rsid w:val="00FD5320"/>
    <w:rsid w:val="00FD58A5"/>
    <w:rsid w:val="00FD6086"/>
    <w:rsid w:val="00FD6141"/>
    <w:rsid w:val="00FD781B"/>
    <w:rsid w:val="00FD7C80"/>
    <w:rsid w:val="00FD7CDB"/>
    <w:rsid w:val="00FE0778"/>
    <w:rsid w:val="00FE0867"/>
    <w:rsid w:val="00FE0B11"/>
    <w:rsid w:val="00FE0E5E"/>
    <w:rsid w:val="00FE16B5"/>
    <w:rsid w:val="00FE1B37"/>
    <w:rsid w:val="00FE1EA9"/>
    <w:rsid w:val="00FE2017"/>
    <w:rsid w:val="00FE25A5"/>
    <w:rsid w:val="00FE4499"/>
    <w:rsid w:val="00FE47D1"/>
    <w:rsid w:val="00FE522D"/>
    <w:rsid w:val="00FE57DB"/>
    <w:rsid w:val="00FE5889"/>
    <w:rsid w:val="00FE5B0D"/>
    <w:rsid w:val="00FE611E"/>
    <w:rsid w:val="00FE65F8"/>
    <w:rsid w:val="00FE713A"/>
    <w:rsid w:val="00FF084A"/>
    <w:rsid w:val="00FF0BD4"/>
    <w:rsid w:val="00FF18B1"/>
    <w:rsid w:val="00FF1A5E"/>
    <w:rsid w:val="00FF1B88"/>
    <w:rsid w:val="00FF1EE6"/>
    <w:rsid w:val="00FF39FB"/>
    <w:rsid w:val="00FF402E"/>
    <w:rsid w:val="00FF417C"/>
    <w:rsid w:val="00FF444C"/>
    <w:rsid w:val="00FF4A67"/>
    <w:rsid w:val="00FF5409"/>
    <w:rsid w:val="00FF55C6"/>
    <w:rsid w:val="00FF5DD1"/>
    <w:rsid w:val="00FF5F8C"/>
    <w:rsid w:val="00FF6766"/>
    <w:rsid w:val="00FF6ED1"/>
    <w:rsid w:val="00FF71F9"/>
    <w:rsid w:val="00FF7DDE"/>
    <w:rsid w:val="00FF7F1C"/>
    <w:rsid w:val="02705427"/>
    <w:rsid w:val="03C40334"/>
    <w:rsid w:val="0FC143B7"/>
    <w:rsid w:val="21FD139F"/>
    <w:rsid w:val="298942DB"/>
    <w:rsid w:val="2B5C5399"/>
    <w:rsid w:val="4FB544DE"/>
    <w:rsid w:val="62024CF0"/>
    <w:rsid w:val="62982A91"/>
    <w:rsid w:val="6B841E2E"/>
    <w:rsid w:val="7EC30B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qFormat="1" w:unhideWhenUsed="0" w:uiPriority="99" w:semiHidden="0" w:name="macro"/>
    <w:lsdException w:uiPriority="99" w:name="toa heading"/>
    <w:lsdException w:qFormat="1" w:unhideWhenUsed="0" w:uiPriority="0" w:semiHidden="0"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qFormat="1"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name="Body Text First Indent"/>
    <w:lsdException w:qFormat="1" w:uiPriority="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3"/>
    <w:link w:val="118"/>
    <w:qFormat/>
    <w:uiPriority w:val="0"/>
    <w:pPr>
      <w:keepNext/>
      <w:keepLines/>
      <w:spacing w:before="340" w:after="330" w:line="576" w:lineRule="auto"/>
      <w:jc w:val="center"/>
      <w:outlineLvl w:val="0"/>
    </w:pPr>
    <w:rPr>
      <w:rFonts w:ascii="Times New Roman" w:hAnsi="Times New Roman" w:cs="Times New Roman"/>
      <w:b/>
      <w:kern w:val="44"/>
      <w:sz w:val="44"/>
      <w:szCs w:val="20"/>
    </w:rPr>
  </w:style>
  <w:style w:type="paragraph" w:styleId="3">
    <w:name w:val="heading 2"/>
    <w:basedOn w:val="1"/>
    <w:next w:val="1"/>
    <w:link w:val="97"/>
    <w:qFormat/>
    <w:uiPriority w:val="0"/>
    <w:pPr>
      <w:keepNext/>
      <w:keepLines/>
      <w:spacing w:before="260" w:after="260" w:line="415" w:lineRule="auto"/>
      <w:outlineLvl w:val="1"/>
    </w:pPr>
    <w:rPr>
      <w:rFonts w:ascii="Arial" w:hAnsi="Arial" w:cs="Times New Roman"/>
      <w:b/>
      <w:sz w:val="32"/>
      <w:szCs w:val="20"/>
    </w:rPr>
  </w:style>
  <w:style w:type="paragraph" w:styleId="5">
    <w:name w:val="heading 3"/>
    <w:basedOn w:val="1"/>
    <w:next w:val="6"/>
    <w:link w:val="151"/>
    <w:qFormat/>
    <w:uiPriority w:val="0"/>
    <w:pPr>
      <w:keepNext/>
      <w:keepLines/>
      <w:widowControl/>
      <w:tabs>
        <w:tab w:val="left" w:pos="3229"/>
      </w:tabs>
      <w:spacing w:before="120" w:after="120" w:line="360" w:lineRule="auto"/>
      <w:ind w:left="3229" w:hanging="709"/>
      <w:jc w:val="center"/>
      <w:outlineLvl w:val="2"/>
    </w:pPr>
    <w:rPr>
      <w:rFonts w:ascii="Times New Roman" w:hAnsi="Times New Roman" w:cs="Times New Roman"/>
      <w:b/>
      <w:sz w:val="32"/>
      <w:szCs w:val="24"/>
    </w:rPr>
  </w:style>
  <w:style w:type="paragraph" w:styleId="7">
    <w:name w:val="heading 4"/>
    <w:basedOn w:val="1"/>
    <w:next w:val="6"/>
    <w:link w:val="162"/>
    <w:qFormat/>
    <w:uiPriority w:val="0"/>
    <w:pPr>
      <w:keepNext/>
      <w:adjustRightInd w:val="0"/>
      <w:spacing w:line="360" w:lineRule="auto"/>
      <w:ind w:firstLine="454"/>
      <w:jc w:val="left"/>
      <w:textAlignment w:val="baseline"/>
      <w:outlineLvl w:val="3"/>
    </w:pPr>
    <w:rPr>
      <w:rFonts w:cs="宋体" w:asciiTheme="minorEastAsia" w:hAnsiTheme="minorEastAsia" w:eastAsiaTheme="minorEastAsia"/>
      <w:b/>
      <w:kern w:val="0"/>
      <w:sz w:val="24"/>
      <w:szCs w:val="24"/>
    </w:rPr>
  </w:style>
  <w:style w:type="paragraph" w:styleId="8">
    <w:name w:val="heading 5"/>
    <w:basedOn w:val="1"/>
    <w:next w:val="1"/>
    <w:link w:val="117"/>
    <w:qFormat/>
    <w:uiPriority w:val="0"/>
    <w:pPr>
      <w:keepNext/>
      <w:jc w:val="center"/>
      <w:outlineLvl w:val="4"/>
    </w:pPr>
    <w:rPr>
      <w:rFonts w:ascii="Times New Roman" w:hAnsi="Times New Roman" w:eastAsia="楷体_GB2312" w:cs="Times New Roman"/>
      <w:sz w:val="28"/>
      <w:szCs w:val="24"/>
    </w:rPr>
  </w:style>
  <w:style w:type="paragraph" w:styleId="9">
    <w:name w:val="heading 6"/>
    <w:basedOn w:val="1"/>
    <w:next w:val="1"/>
    <w:link w:val="138"/>
    <w:qFormat/>
    <w:uiPriority w:val="0"/>
    <w:pPr>
      <w:keepNext/>
      <w:keepLines/>
      <w:widowControl/>
      <w:tabs>
        <w:tab w:val="left" w:pos="1440"/>
      </w:tabs>
      <w:spacing w:before="240" w:after="64" w:line="317" w:lineRule="auto"/>
      <w:ind w:left="1152" w:hanging="1152"/>
      <w:jc w:val="left"/>
      <w:outlineLvl w:val="5"/>
    </w:pPr>
    <w:rPr>
      <w:rFonts w:ascii="Arial" w:hAnsi="Arial" w:eastAsia="黑体" w:cs="Times New Roman"/>
      <w:b/>
      <w:bCs/>
      <w:kern w:val="0"/>
      <w:sz w:val="24"/>
      <w:szCs w:val="24"/>
    </w:rPr>
  </w:style>
  <w:style w:type="paragraph" w:styleId="10">
    <w:name w:val="heading 7"/>
    <w:basedOn w:val="1"/>
    <w:next w:val="1"/>
    <w:link w:val="137"/>
    <w:qFormat/>
    <w:uiPriority w:val="0"/>
    <w:pPr>
      <w:keepNext/>
      <w:keepLines/>
      <w:widowControl/>
      <w:tabs>
        <w:tab w:val="left" w:pos="2520"/>
      </w:tabs>
      <w:spacing w:before="240" w:after="64" w:line="317" w:lineRule="auto"/>
      <w:ind w:left="1296" w:hanging="1296"/>
      <w:jc w:val="left"/>
      <w:outlineLvl w:val="6"/>
    </w:pPr>
    <w:rPr>
      <w:rFonts w:ascii="Times New Roman" w:hAnsi="Times New Roman" w:cs="Times New Roman"/>
      <w:b/>
      <w:bCs/>
      <w:kern w:val="0"/>
      <w:sz w:val="24"/>
      <w:szCs w:val="24"/>
    </w:rPr>
  </w:style>
  <w:style w:type="paragraph" w:styleId="11">
    <w:name w:val="heading 8"/>
    <w:basedOn w:val="1"/>
    <w:next w:val="1"/>
    <w:link w:val="98"/>
    <w:qFormat/>
    <w:uiPriority w:val="0"/>
    <w:pPr>
      <w:keepNext/>
      <w:keepLines/>
      <w:widowControl/>
      <w:tabs>
        <w:tab w:val="left" w:pos="1440"/>
      </w:tabs>
      <w:spacing w:before="240" w:after="64" w:line="317" w:lineRule="auto"/>
      <w:ind w:left="1440" w:hanging="1440"/>
      <w:jc w:val="left"/>
      <w:outlineLvl w:val="7"/>
    </w:pPr>
    <w:rPr>
      <w:rFonts w:ascii="Arial" w:hAnsi="Arial" w:eastAsia="黑体" w:cs="Times New Roman"/>
      <w:kern w:val="0"/>
      <w:sz w:val="24"/>
      <w:szCs w:val="24"/>
    </w:rPr>
  </w:style>
  <w:style w:type="paragraph" w:styleId="12">
    <w:name w:val="heading 9"/>
    <w:basedOn w:val="1"/>
    <w:next w:val="1"/>
    <w:link w:val="185"/>
    <w:qFormat/>
    <w:uiPriority w:val="0"/>
    <w:pPr>
      <w:keepNext/>
      <w:keepLines/>
      <w:widowControl/>
      <w:tabs>
        <w:tab w:val="left" w:pos="1584"/>
      </w:tabs>
      <w:spacing w:before="240" w:after="64" w:line="317" w:lineRule="auto"/>
      <w:ind w:left="1584" w:hanging="1584"/>
      <w:jc w:val="left"/>
      <w:outlineLvl w:val="8"/>
    </w:pPr>
    <w:rPr>
      <w:rFonts w:ascii="Arial" w:hAnsi="Arial" w:eastAsia="黑体" w:cs="Times New Roman"/>
      <w:kern w:val="0"/>
      <w:szCs w:val="21"/>
    </w:r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4">
    <w:name w:val="macro"/>
    <w:link w:val="428"/>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kern w:val="2"/>
      <w:sz w:val="24"/>
      <w:szCs w:val="24"/>
      <w:lang w:val="en-US" w:eastAsia="zh-CN" w:bidi="ar-SA"/>
    </w:rPr>
  </w:style>
  <w:style w:type="paragraph" w:styleId="6">
    <w:name w:val="Normal Indent"/>
    <w:basedOn w:val="1"/>
    <w:link w:val="163"/>
    <w:qFormat/>
    <w:uiPriority w:val="0"/>
    <w:pPr>
      <w:ind w:firstLine="420" w:firstLineChars="200"/>
    </w:pPr>
    <w:rPr>
      <w:rFonts w:ascii="Times New Roman" w:hAnsi="Times New Roman" w:cs="Times New Roman"/>
      <w:szCs w:val="24"/>
    </w:rPr>
  </w:style>
  <w:style w:type="paragraph" w:styleId="13">
    <w:name w:val="List Bullet 4"/>
    <w:basedOn w:val="1"/>
    <w:qFormat/>
    <w:uiPriority w:val="0"/>
    <w:pPr>
      <w:tabs>
        <w:tab w:val="left" w:pos="1140"/>
      </w:tabs>
      <w:spacing w:line="360" w:lineRule="auto"/>
      <w:ind w:left="-137" w:leftChars="-137" w:hanging="288" w:hangingChars="137"/>
    </w:pPr>
    <w:rPr>
      <w:rFonts w:ascii="Times New Roman" w:hAnsi="Times New Roman" w:cs="Times New Roman"/>
      <w:szCs w:val="24"/>
    </w:rPr>
  </w:style>
  <w:style w:type="paragraph" w:styleId="14">
    <w:name w:val="index 8"/>
    <w:basedOn w:val="1"/>
    <w:next w:val="1"/>
    <w:qFormat/>
    <w:uiPriority w:val="0"/>
    <w:pPr>
      <w:snapToGrid w:val="0"/>
      <w:spacing w:afterLines="30" w:line="336" w:lineRule="auto"/>
      <w:ind w:left="1920" w:hanging="240" w:firstLineChars="200"/>
      <w:jc w:val="left"/>
    </w:pPr>
    <w:rPr>
      <w:rFonts w:ascii="Times New Roman" w:hAnsi="Times New Roman" w:eastAsia="楷体_GB2312" w:cs="Times New Roman"/>
      <w:sz w:val="20"/>
      <w:szCs w:val="24"/>
    </w:rPr>
  </w:style>
  <w:style w:type="paragraph" w:styleId="15">
    <w:name w:val="caption"/>
    <w:basedOn w:val="1"/>
    <w:next w:val="1"/>
    <w:qFormat/>
    <w:uiPriority w:val="0"/>
    <w:rPr>
      <w:rFonts w:ascii="Arial" w:hAnsi="Arial" w:eastAsia="黑体" w:cs="Arial"/>
      <w:sz w:val="20"/>
      <w:szCs w:val="20"/>
    </w:rPr>
  </w:style>
  <w:style w:type="paragraph" w:styleId="16">
    <w:name w:val="index 5"/>
    <w:basedOn w:val="1"/>
    <w:next w:val="1"/>
    <w:qFormat/>
    <w:uiPriority w:val="0"/>
    <w:pPr>
      <w:snapToGrid w:val="0"/>
      <w:spacing w:afterLines="30" w:line="336" w:lineRule="auto"/>
      <w:ind w:left="1200" w:hanging="240" w:firstLineChars="200"/>
      <w:jc w:val="left"/>
    </w:pPr>
    <w:rPr>
      <w:rFonts w:ascii="Times New Roman" w:hAnsi="Times New Roman" w:eastAsia="楷体_GB2312" w:cs="Times New Roman"/>
      <w:sz w:val="20"/>
      <w:szCs w:val="24"/>
    </w:rPr>
  </w:style>
  <w:style w:type="paragraph" w:styleId="17">
    <w:name w:val="List Bullet"/>
    <w:basedOn w:val="1"/>
    <w:qFormat/>
    <w:uiPriority w:val="0"/>
    <w:pPr>
      <w:tabs>
        <w:tab w:val="left" w:pos="360"/>
      </w:tabs>
      <w:ind w:left="360" w:hanging="360"/>
    </w:pPr>
    <w:rPr>
      <w:rFonts w:ascii="Times New Roman" w:hAnsi="Times New Roman" w:cs="Times New Roman"/>
      <w:szCs w:val="24"/>
    </w:rPr>
  </w:style>
  <w:style w:type="paragraph" w:styleId="18">
    <w:name w:val="Document Map"/>
    <w:basedOn w:val="1"/>
    <w:link w:val="124"/>
    <w:unhideWhenUsed/>
    <w:qFormat/>
    <w:uiPriority w:val="0"/>
    <w:rPr>
      <w:rFonts w:ascii="宋体" w:hAnsiTheme="minorHAnsi" w:cstheme="minorBidi"/>
      <w:sz w:val="18"/>
      <w:szCs w:val="18"/>
    </w:rPr>
  </w:style>
  <w:style w:type="paragraph" w:styleId="19">
    <w:name w:val="annotation text"/>
    <w:basedOn w:val="1"/>
    <w:link w:val="107"/>
    <w:unhideWhenUsed/>
    <w:qFormat/>
    <w:uiPriority w:val="0"/>
    <w:pPr>
      <w:jc w:val="left"/>
    </w:pPr>
  </w:style>
  <w:style w:type="paragraph" w:styleId="20">
    <w:name w:val="index 6"/>
    <w:basedOn w:val="1"/>
    <w:next w:val="1"/>
    <w:qFormat/>
    <w:uiPriority w:val="0"/>
    <w:pPr>
      <w:snapToGrid w:val="0"/>
      <w:spacing w:afterLines="30" w:line="336" w:lineRule="auto"/>
      <w:ind w:left="1440" w:hanging="240" w:firstLineChars="200"/>
      <w:jc w:val="left"/>
    </w:pPr>
    <w:rPr>
      <w:rFonts w:ascii="Times New Roman" w:hAnsi="Times New Roman" w:eastAsia="楷体_GB2312" w:cs="Times New Roman"/>
      <w:sz w:val="20"/>
      <w:szCs w:val="24"/>
    </w:rPr>
  </w:style>
  <w:style w:type="paragraph" w:styleId="21">
    <w:name w:val="Salutation"/>
    <w:basedOn w:val="1"/>
    <w:next w:val="1"/>
    <w:link w:val="133"/>
    <w:qFormat/>
    <w:uiPriority w:val="0"/>
    <w:pPr>
      <w:spacing w:line="400" w:lineRule="atLeast"/>
    </w:pPr>
    <w:rPr>
      <w:b/>
      <w:sz w:val="24"/>
    </w:rPr>
  </w:style>
  <w:style w:type="paragraph" w:styleId="22">
    <w:name w:val="Body Text 3"/>
    <w:basedOn w:val="1"/>
    <w:link w:val="199"/>
    <w:qFormat/>
    <w:uiPriority w:val="0"/>
    <w:rPr>
      <w:rFonts w:asciiTheme="minorHAnsi" w:hAnsiTheme="minorHAnsi" w:eastAsiaTheme="minorEastAsia" w:cstheme="minorBidi"/>
      <w:sz w:val="16"/>
      <w:szCs w:val="16"/>
    </w:rPr>
  </w:style>
  <w:style w:type="paragraph" w:styleId="23">
    <w:name w:val="List Bullet 3"/>
    <w:basedOn w:val="1"/>
    <w:qFormat/>
    <w:uiPriority w:val="0"/>
    <w:pPr>
      <w:tabs>
        <w:tab w:val="left" w:pos="1140"/>
        <w:tab w:val="left" w:pos="1200"/>
      </w:tabs>
      <w:ind w:left="1200" w:leftChars="400" w:hanging="720"/>
    </w:pPr>
    <w:rPr>
      <w:rFonts w:ascii="Times New Roman" w:hAnsi="Times New Roman" w:cs="Times New Roman"/>
      <w:szCs w:val="24"/>
    </w:rPr>
  </w:style>
  <w:style w:type="paragraph" w:styleId="24">
    <w:name w:val="Body Text"/>
    <w:basedOn w:val="1"/>
    <w:link w:val="126"/>
    <w:qFormat/>
    <w:uiPriority w:val="0"/>
    <w:pPr>
      <w:spacing w:after="120"/>
    </w:pPr>
    <w:rPr>
      <w:szCs w:val="24"/>
    </w:rPr>
  </w:style>
  <w:style w:type="paragraph" w:styleId="25">
    <w:name w:val="Body Text Indent"/>
    <w:basedOn w:val="1"/>
    <w:link w:val="83"/>
    <w:qFormat/>
    <w:uiPriority w:val="0"/>
    <w:pPr>
      <w:spacing w:after="120"/>
      <w:ind w:left="420" w:leftChars="200"/>
    </w:pPr>
    <w:rPr>
      <w:szCs w:val="24"/>
    </w:rPr>
  </w:style>
  <w:style w:type="paragraph" w:styleId="26">
    <w:name w:val="Block Text"/>
    <w:basedOn w:val="1"/>
    <w:qFormat/>
    <w:uiPriority w:val="0"/>
    <w:pPr>
      <w:spacing w:line="360" w:lineRule="auto"/>
      <w:ind w:left="1" w:right="-13" w:rightChars="-6" w:firstLine="480" w:firstLineChars="200"/>
    </w:pPr>
    <w:rPr>
      <w:rFonts w:ascii="Arial" w:hAnsi="Arial" w:cs="Arial"/>
      <w:sz w:val="24"/>
      <w:szCs w:val="24"/>
    </w:rPr>
  </w:style>
  <w:style w:type="paragraph" w:styleId="27">
    <w:name w:val="List Bullet 2"/>
    <w:basedOn w:val="1"/>
    <w:qFormat/>
    <w:uiPriority w:val="0"/>
    <w:pPr>
      <w:tabs>
        <w:tab w:val="left" w:pos="780"/>
        <w:tab w:val="left" w:pos="1460"/>
      </w:tabs>
      <w:ind w:left="780" w:leftChars="200" w:hanging="900"/>
    </w:pPr>
    <w:rPr>
      <w:rFonts w:ascii="Times New Roman" w:hAnsi="Times New Roman" w:cs="Times New Roman"/>
      <w:szCs w:val="24"/>
    </w:rPr>
  </w:style>
  <w:style w:type="paragraph" w:styleId="28">
    <w:name w:val="index 4"/>
    <w:basedOn w:val="1"/>
    <w:next w:val="1"/>
    <w:qFormat/>
    <w:uiPriority w:val="0"/>
    <w:pPr>
      <w:snapToGrid w:val="0"/>
      <w:spacing w:afterLines="30" w:line="336" w:lineRule="auto"/>
      <w:ind w:left="960" w:hanging="240" w:firstLineChars="200"/>
      <w:jc w:val="left"/>
    </w:pPr>
    <w:rPr>
      <w:rFonts w:ascii="Times New Roman" w:hAnsi="Times New Roman" w:eastAsia="楷体_GB2312" w:cs="Times New Roman"/>
      <w:sz w:val="20"/>
      <w:szCs w:val="24"/>
    </w:rPr>
  </w:style>
  <w:style w:type="paragraph" w:styleId="29">
    <w:name w:val="toc 3"/>
    <w:basedOn w:val="1"/>
    <w:next w:val="1"/>
    <w:semiHidden/>
    <w:unhideWhenUsed/>
    <w:qFormat/>
    <w:uiPriority w:val="39"/>
    <w:pPr>
      <w:ind w:left="840" w:leftChars="400"/>
    </w:pPr>
  </w:style>
  <w:style w:type="paragraph" w:styleId="30">
    <w:name w:val="Plain Text"/>
    <w:basedOn w:val="1"/>
    <w:link w:val="181"/>
    <w:qFormat/>
    <w:uiPriority w:val="0"/>
    <w:rPr>
      <w:rFonts w:ascii="宋体" w:hAnsi="Courier New" w:cs="Courier New"/>
      <w:szCs w:val="21"/>
    </w:rPr>
  </w:style>
  <w:style w:type="paragraph" w:styleId="31">
    <w:name w:val="List Bullet 5"/>
    <w:basedOn w:val="1"/>
    <w:qFormat/>
    <w:uiPriority w:val="0"/>
    <w:pPr>
      <w:tabs>
        <w:tab w:val="left" w:pos="425"/>
      </w:tabs>
      <w:ind w:left="425" w:hanging="425"/>
    </w:pPr>
    <w:rPr>
      <w:rFonts w:ascii="Times New Roman" w:hAnsi="Times New Roman" w:cs="Times New Roman"/>
      <w:szCs w:val="24"/>
    </w:rPr>
  </w:style>
  <w:style w:type="paragraph" w:styleId="32">
    <w:name w:val="index 3"/>
    <w:basedOn w:val="1"/>
    <w:next w:val="1"/>
    <w:qFormat/>
    <w:uiPriority w:val="0"/>
    <w:pPr>
      <w:snapToGrid w:val="0"/>
      <w:spacing w:afterLines="30" w:line="336" w:lineRule="auto"/>
      <w:ind w:left="720" w:hanging="240" w:firstLineChars="200"/>
      <w:jc w:val="left"/>
    </w:pPr>
    <w:rPr>
      <w:rFonts w:ascii="Times New Roman" w:hAnsi="Times New Roman" w:eastAsia="楷体_GB2312" w:cs="Times New Roman"/>
      <w:sz w:val="20"/>
      <w:szCs w:val="24"/>
    </w:rPr>
  </w:style>
  <w:style w:type="paragraph" w:styleId="33">
    <w:name w:val="Date"/>
    <w:basedOn w:val="1"/>
    <w:next w:val="1"/>
    <w:link w:val="140"/>
    <w:qFormat/>
    <w:uiPriority w:val="0"/>
    <w:rPr>
      <w:sz w:val="24"/>
    </w:rPr>
  </w:style>
  <w:style w:type="paragraph" w:styleId="34">
    <w:name w:val="Body Text Indent 2"/>
    <w:basedOn w:val="1"/>
    <w:link w:val="169"/>
    <w:qFormat/>
    <w:uiPriority w:val="0"/>
    <w:pPr>
      <w:spacing w:line="500" w:lineRule="exact"/>
      <w:ind w:firstLine="540" w:firstLineChars="200"/>
    </w:pPr>
    <w:rPr>
      <w:rFonts w:ascii="宋体" w:hAnsi="宋体"/>
      <w:sz w:val="27"/>
      <w:szCs w:val="27"/>
    </w:rPr>
  </w:style>
  <w:style w:type="paragraph" w:styleId="35">
    <w:name w:val="endnote text"/>
    <w:basedOn w:val="1"/>
    <w:link w:val="108"/>
    <w:qFormat/>
    <w:uiPriority w:val="0"/>
    <w:pPr>
      <w:snapToGrid w:val="0"/>
      <w:jc w:val="left"/>
    </w:pPr>
    <w:rPr>
      <w:szCs w:val="24"/>
    </w:rPr>
  </w:style>
  <w:style w:type="paragraph" w:styleId="36">
    <w:name w:val="Balloon Text"/>
    <w:basedOn w:val="1"/>
    <w:link w:val="92"/>
    <w:qFormat/>
    <w:uiPriority w:val="0"/>
    <w:rPr>
      <w:rFonts w:asciiTheme="minorHAnsi" w:hAnsiTheme="minorHAnsi" w:eastAsiaTheme="minorEastAsia" w:cstheme="minorBidi"/>
      <w:sz w:val="18"/>
      <w:szCs w:val="18"/>
    </w:rPr>
  </w:style>
  <w:style w:type="paragraph" w:styleId="37">
    <w:name w:val="footer"/>
    <w:basedOn w:val="1"/>
    <w:link w:val="102"/>
    <w:qFormat/>
    <w:uiPriority w:val="99"/>
    <w:pPr>
      <w:tabs>
        <w:tab w:val="center" w:pos="4153"/>
        <w:tab w:val="right" w:pos="8306"/>
      </w:tabs>
      <w:snapToGrid w:val="0"/>
      <w:jc w:val="left"/>
    </w:pPr>
    <w:rPr>
      <w:rFonts w:ascii="Times New Roman" w:hAnsi="Times New Roman" w:cs="Times New Roman"/>
      <w:sz w:val="18"/>
      <w:szCs w:val="20"/>
    </w:rPr>
  </w:style>
  <w:style w:type="paragraph" w:styleId="38">
    <w:name w:val="header"/>
    <w:basedOn w:val="1"/>
    <w:link w:val="145"/>
    <w:qFormat/>
    <w:uiPriority w:val="99"/>
    <w:pPr>
      <w:pBdr>
        <w:bottom w:val="thinThickSmallGap" w:color="auto" w:sz="12" w:space="1"/>
      </w:pBdr>
      <w:tabs>
        <w:tab w:val="center" w:pos="4153"/>
        <w:tab w:val="right" w:pos="8306"/>
      </w:tabs>
      <w:snapToGrid w:val="0"/>
      <w:ind w:firstLine="284"/>
      <w:jc w:val="left"/>
    </w:pPr>
    <w:rPr>
      <w:rFonts w:asciiTheme="minorHAnsi" w:hAnsiTheme="minorHAnsi" w:eastAsiaTheme="minorEastAsia" w:cstheme="minorBidi"/>
      <w:sz w:val="18"/>
      <w:szCs w:val="18"/>
    </w:rPr>
  </w:style>
  <w:style w:type="paragraph" w:styleId="39">
    <w:name w:val="toc 1"/>
    <w:basedOn w:val="1"/>
    <w:next w:val="1"/>
    <w:semiHidden/>
    <w:unhideWhenUsed/>
    <w:qFormat/>
    <w:uiPriority w:val="39"/>
  </w:style>
  <w:style w:type="paragraph" w:styleId="40">
    <w:name w:val="index heading"/>
    <w:basedOn w:val="1"/>
    <w:next w:val="41"/>
    <w:qFormat/>
    <w:uiPriority w:val="0"/>
    <w:pPr>
      <w:snapToGrid w:val="0"/>
      <w:spacing w:before="120" w:afterLines="30" w:line="336" w:lineRule="auto"/>
      <w:ind w:firstLine="200" w:firstLineChars="200"/>
      <w:jc w:val="left"/>
    </w:pPr>
    <w:rPr>
      <w:rFonts w:ascii="Times New Roman" w:hAnsi="Times New Roman" w:eastAsia="楷体_GB2312" w:cs="Times New Roman"/>
      <w:b/>
      <w:i/>
      <w:sz w:val="20"/>
      <w:szCs w:val="24"/>
    </w:rPr>
  </w:style>
  <w:style w:type="paragraph" w:styleId="41">
    <w:name w:val="index 1"/>
    <w:basedOn w:val="1"/>
    <w:next w:val="1"/>
    <w:unhideWhenUsed/>
    <w:qFormat/>
    <w:uiPriority w:val="0"/>
  </w:style>
  <w:style w:type="paragraph" w:styleId="42">
    <w:name w:val="Subtitle"/>
    <w:basedOn w:val="1"/>
    <w:next w:val="1"/>
    <w:link w:val="99"/>
    <w:qFormat/>
    <w:uiPriority w:val="0"/>
    <w:pPr>
      <w:spacing w:before="240" w:after="60" w:line="312" w:lineRule="auto"/>
      <w:jc w:val="center"/>
      <w:outlineLvl w:val="1"/>
    </w:pPr>
    <w:rPr>
      <w:rFonts w:ascii="Cambria" w:hAnsi="Cambria"/>
      <w:b/>
      <w:bCs/>
      <w:kern w:val="28"/>
      <w:sz w:val="32"/>
      <w:szCs w:val="32"/>
    </w:rPr>
  </w:style>
  <w:style w:type="paragraph" w:styleId="43">
    <w:name w:val="List"/>
    <w:basedOn w:val="1"/>
    <w:qFormat/>
    <w:uiPriority w:val="0"/>
    <w:pPr>
      <w:ind w:left="420" w:hanging="420"/>
    </w:pPr>
    <w:rPr>
      <w:rFonts w:ascii="Times New Roman" w:hAnsi="Times New Roman" w:cs="Times New Roman"/>
      <w:szCs w:val="20"/>
    </w:rPr>
  </w:style>
  <w:style w:type="paragraph" w:styleId="44">
    <w:name w:val="footnote text"/>
    <w:basedOn w:val="1"/>
    <w:link w:val="189"/>
    <w:qFormat/>
    <w:uiPriority w:val="0"/>
    <w:pPr>
      <w:snapToGrid w:val="0"/>
      <w:jc w:val="left"/>
    </w:pPr>
    <w:rPr>
      <w:rFonts w:asciiTheme="minorHAnsi" w:hAnsiTheme="minorHAnsi" w:eastAsiaTheme="minorEastAsia" w:cstheme="minorBidi"/>
      <w:sz w:val="18"/>
      <w:szCs w:val="18"/>
    </w:rPr>
  </w:style>
  <w:style w:type="paragraph" w:styleId="45">
    <w:name w:val="Body Text Indent 3"/>
    <w:basedOn w:val="1"/>
    <w:link w:val="95"/>
    <w:qFormat/>
    <w:uiPriority w:val="0"/>
    <w:pPr>
      <w:spacing w:after="120"/>
      <w:ind w:left="420" w:leftChars="200"/>
    </w:pPr>
    <w:rPr>
      <w:rFonts w:asciiTheme="minorHAnsi" w:hAnsiTheme="minorHAnsi" w:eastAsiaTheme="minorEastAsia" w:cstheme="minorBidi"/>
      <w:sz w:val="16"/>
      <w:szCs w:val="16"/>
    </w:rPr>
  </w:style>
  <w:style w:type="paragraph" w:styleId="46">
    <w:name w:val="index 7"/>
    <w:basedOn w:val="1"/>
    <w:next w:val="1"/>
    <w:qFormat/>
    <w:uiPriority w:val="0"/>
    <w:pPr>
      <w:snapToGrid w:val="0"/>
      <w:spacing w:afterLines="30" w:line="336" w:lineRule="auto"/>
      <w:ind w:left="1680" w:hanging="240" w:firstLineChars="200"/>
      <w:jc w:val="left"/>
    </w:pPr>
    <w:rPr>
      <w:rFonts w:ascii="Times New Roman" w:hAnsi="Times New Roman" w:eastAsia="楷体_GB2312" w:cs="Times New Roman"/>
      <w:sz w:val="20"/>
      <w:szCs w:val="24"/>
    </w:rPr>
  </w:style>
  <w:style w:type="paragraph" w:styleId="47">
    <w:name w:val="index 9"/>
    <w:basedOn w:val="1"/>
    <w:next w:val="1"/>
    <w:qFormat/>
    <w:uiPriority w:val="0"/>
    <w:pPr>
      <w:snapToGrid w:val="0"/>
      <w:spacing w:afterLines="30" w:line="336" w:lineRule="auto"/>
      <w:ind w:left="2160" w:hanging="240" w:firstLineChars="200"/>
      <w:jc w:val="left"/>
    </w:pPr>
    <w:rPr>
      <w:rFonts w:ascii="Times New Roman" w:hAnsi="Times New Roman" w:eastAsia="楷体_GB2312" w:cs="Times New Roman"/>
      <w:sz w:val="20"/>
      <w:szCs w:val="24"/>
    </w:rPr>
  </w:style>
  <w:style w:type="paragraph" w:styleId="48">
    <w:name w:val="table of figures"/>
    <w:basedOn w:val="1"/>
    <w:next w:val="1"/>
    <w:semiHidden/>
    <w:qFormat/>
    <w:uiPriority w:val="0"/>
    <w:pPr>
      <w:ind w:left="840" w:hanging="420"/>
    </w:pPr>
    <w:rPr>
      <w:rFonts w:ascii="Times New Roman" w:hAnsi="Times New Roman" w:cs="Times New Roman"/>
      <w:szCs w:val="24"/>
    </w:rPr>
  </w:style>
  <w:style w:type="paragraph" w:styleId="49">
    <w:name w:val="toc 2"/>
    <w:basedOn w:val="1"/>
    <w:next w:val="1"/>
    <w:semiHidden/>
    <w:unhideWhenUsed/>
    <w:qFormat/>
    <w:uiPriority w:val="39"/>
    <w:pPr>
      <w:ind w:left="420" w:leftChars="200"/>
    </w:pPr>
  </w:style>
  <w:style w:type="paragraph" w:styleId="50">
    <w:name w:val="Body Text 2"/>
    <w:basedOn w:val="1"/>
    <w:link w:val="134"/>
    <w:qFormat/>
    <w:uiPriority w:val="0"/>
    <w:pPr>
      <w:spacing w:after="120" w:line="480" w:lineRule="auto"/>
    </w:pPr>
    <w:rPr>
      <w:szCs w:val="24"/>
    </w:rPr>
  </w:style>
  <w:style w:type="paragraph" w:styleId="51">
    <w:name w:val="HTML Preformatted"/>
    <w:basedOn w:val="1"/>
    <w:link w:val="10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eastAsiaTheme="minorEastAsia"/>
      <w:sz w:val="20"/>
      <w:szCs w:val="20"/>
    </w:rPr>
  </w:style>
  <w:style w:type="paragraph" w:styleId="52">
    <w:name w:val="Normal (Web)"/>
    <w:basedOn w:val="1"/>
    <w:qFormat/>
    <w:uiPriority w:val="0"/>
    <w:rPr>
      <w:rFonts w:ascii="Times New Roman" w:hAnsi="Times New Roman" w:cs="Times New Roman"/>
      <w:sz w:val="24"/>
      <w:szCs w:val="24"/>
    </w:rPr>
  </w:style>
  <w:style w:type="paragraph" w:styleId="53">
    <w:name w:val="List Continue 3"/>
    <w:basedOn w:val="1"/>
    <w:semiHidden/>
    <w:unhideWhenUsed/>
    <w:qFormat/>
    <w:uiPriority w:val="99"/>
    <w:pPr>
      <w:spacing w:after="120"/>
      <w:ind w:left="1260" w:leftChars="600"/>
      <w:contextualSpacing/>
    </w:pPr>
  </w:style>
  <w:style w:type="paragraph" w:styleId="54">
    <w:name w:val="index 2"/>
    <w:basedOn w:val="1"/>
    <w:next w:val="1"/>
    <w:qFormat/>
    <w:uiPriority w:val="0"/>
    <w:pPr>
      <w:snapToGrid w:val="0"/>
      <w:spacing w:afterLines="30" w:line="336" w:lineRule="auto"/>
      <w:ind w:left="480" w:hanging="240" w:firstLineChars="200"/>
      <w:jc w:val="left"/>
    </w:pPr>
    <w:rPr>
      <w:rFonts w:ascii="Times New Roman" w:hAnsi="Times New Roman" w:eastAsia="楷体_GB2312" w:cs="Times New Roman"/>
      <w:sz w:val="20"/>
      <w:szCs w:val="24"/>
    </w:rPr>
  </w:style>
  <w:style w:type="paragraph" w:styleId="55">
    <w:name w:val="Title"/>
    <w:basedOn w:val="1"/>
    <w:link w:val="90"/>
    <w:qFormat/>
    <w:uiPriority w:val="0"/>
    <w:pPr>
      <w:adjustRightInd w:val="0"/>
      <w:spacing w:before="240" w:after="60" w:line="420" w:lineRule="atLeast"/>
      <w:jc w:val="center"/>
      <w:textAlignment w:val="baseline"/>
      <w:outlineLvl w:val="0"/>
    </w:pPr>
    <w:rPr>
      <w:rFonts w:ascii="Cambria" w:hAnsi="Cambria"/>
      <w:b/>
      <w:bCs/>
      <w:sz w:val="32"/>
      <w:szCs w:val="32"/>
    </w:rPr>
  </w:style>
  <w:style w:type="paragraph" w:styleId="56">
    <w:name w:val="annotation subject"/>
    <w:basedOn w:val="19"/>
    <w:next w:val="19"/>
    <w:link w:val="128"/>
    <w:qFormat/>
    <w:uiPriority w:val="0"/>
    <w:rPr>
      <w:rFonts w:asciiTheme="minorHAnsi" w:hAnsiTheme="minorHAnsi" w:eastAsiaTheme="minorEastAsia" w:cstheme="minorBidi"/>
      <w:b/>
      <w:bCs/>
    </w:rPr>
  </w:style>
  <w:style w:type="paragraph" w:styleId="57">
    <w:name w:val="Body Text First Indent"/>
    <w:basedOn w:val="24"/>
    <w:link w:val="125"/>
    <w:semiHidden/>
    <w:unhideWhenUsed/>
    <w:qFormat/>
    <w:uiPriority w:val="99"/>
    <w:pPr>
      <w:ind w:firstLine="420" w:firstLineChars="100"/>
    </w:pPr>
    <w:rPr>
      <w:szCs w:val="22"/>
    </w:rPr>
  </w:style>
  <w:style w:type="paragraph" w:styleId="58">
    <w:name w:val="Body Text First Indent 2"/>
    <w:basedOn w:val="25"/>
    <w:link w:val="129"/>
    <w:semiHidden/>
    <w:unhideWhenUsed/>
    <w:qFormat/>
    <w:uiPriority w:val="0"/>
    <w:pPr>
      <w:ind w:firstLine="420" w:firstLineChars="200"/>
    </w:pPr>
    <w:rPr>
      <w:rFonts w:asciiTheme="minorHAnsi" w:hAnsiTheme="minorHAnsi" w:eastAsiaTheme="minorEastAsia" w:cstheme="minorBidi"/>
    </w:rPr>
  </w:style>
  <w:style w:type="table" w:styleId="60">
    <w:name w:val="Table Grid"/>
    <w:basedOn w:val="5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basedOn w:val="61"/>
    <w:semiHidden/>
    <w:unhideWhenUsed/>
    <w:qFormat/>
    <w:uiPriority w:val="99"/>
    <w:rPr>
      <w:color w:val="800080" w:themeColor="followedHyperlink"/>
      <w:u w:val="single"/>
      <w14:textFill>
        <w14:solidFill>
          <w14:schemeClr w14:val="folHlink"/>
        </w14:solidFill>
      </w14:textFill>
    </w:rPr>
  </w:style>
  <w:style w:type="character" w:styleId="66">
    <w:name w:val="Emphasis"/>
    <w:qFormat/>
    <w:uiPriority w:val="0"/>
    <w:rPr>
      <w:color w:val="CC0033"/>
    </w:rPr>
  </w:style>
  <w:style w:type="character" w:styleId="67">
    <w:name w:val="Hyperlink"/>
    <w:qFormat/>
    <w:uiPriority w:val="99"/>
    <w:rPr>
      <w:color w:val="0000FF"/>
      <w:u w:val="single"/>
    </w:rPr>
  </w:style>
  <w:style w:type="character" w:styleId="68">
    <w:name w:val="annotation reference"/>
    <w:qFormat/>
    <w:uiPriority w:val="0"/>
    <w:rPr>
      <w:sz w:val="21"/>
      <w:szCs w:val="21"/>
    </w:rPr>
  </w:style>
  <w:style w:type="character" w:styleId="69">
    <w:name w:val="footnote reference"/>
    <w:qFormat/>
    <w:uiPriority w:val="0"/>
    <w:rPr>
      <w:vertAlign w:val="superscript"/>
    </w:rPr>
  </w:style>
  <w:style w:type="character" w:customStyle="1" w:styleId="70">
    <w:name w:val="标题 1 Char"/>
    <w:basedOn w:val="61"/>
    <w:qFormat/>
    <w:uiPriority w:val="9"/>
    <w:rPr>
      <w:rFonts w:ascii="Calibri" w:hAnsi="Calibri" w:eastAsia="宋体" w:cs="黑体"/>
      <w:b/>
      <w:bCs/>
      <w:kern w:val="44"/>
      <w:sz w:val="44"/>
      <w:szCs w:val="44"/>
    </w:rPr>
  </w:style>
  <w:style w:type="character" w:customStyle="1" w:styleId="71">
    <w:name w:val="标题 2 Char"/>
    <w:basedOn w:val="61"/>
    <w:semiHidden/>
    <w:qFormat/>
    <w:uiPriority w:val="9"/>
    <w:rPr>
      <w:rFonts w:asciiTheme="majorHAnsi" w:hAnsiTheme="majorHAnsi" w:eastAsiaTheme="majorEastAsia" w:cstheme="majorBidi"/>
      <w:b/>
      <w:bCs/>
      <w:sz w:val="32"/>
      <w:szCs w:val="32"/>
    </w:rPr>
  </w:style>
  <w:style w:type="character" w:customStyle="1" w:styleId="72">
    <w:name w:val="标题 3 Char"/>
    <w:basedOn w:val="61"/>
    <w:semiHidden/>
    <w:qFormat/>
    <w:uiPriority w:val="9"/>
    <w:rPr>
      <w:rFonts w:ascii="Calibri" w:hAnsi="Calibri" w:eastAsia="宋体" w:cs="黑体"/>
      <w:b/>
      <w:bCs/>
      <w:sz w:val="32"/>
      <w:szCs w:val="32"/>
    </w:rPr>
  </w:style>
  <w:style w:type="character" w:customStyle="1" w:styleId="73">
    <w:name w:val="标题 4 Char"/>
    <w:basedOn w:val="61"/>
    <w:qFormat/>
    <w:uiPriority w:val="0"/>
    <w:rPr>
      <w:rFonts w:asciiTheme="majorHAnsi" w:hAnsiTheme="majorHAnsi" w:eastAsiaTheme="majorEastAsia" w:cstheme="majorBidi"/>
      <w:b/>
      <w:bCs/>
      <w:sz w:val="28"/>
      <w:szCs w:val="28"/>
    </w:rPr>
  </w:style>
  <w:style w:type="character" w:customStyle="1" w:styleId="74">
    <w:name w:val="标题 5 Char"/>
    <w:basedOn w:val="61"/>
    <w:semiHidden/>
    <w:qFormat/>
    <w:uiPriority w:val="9"/>
    <w:rPr>
      <w:rFonts w:ascii="Calibri" w:hAnsi="Calibri" w:eastAsia="宋体" w:cs="黑体"/>
      <w:b/>
      <w:bCs/>
      <w:sz w:val="28"/>
      <w:szCs w:val="28"/>
    </w:rPr>
  </w:style>
  <w:style w:type="character" w:customStyle="1" w:styleId="75">
    <w:name w:val="标题 6 Char"/>
    <w:basedOn w:val="61"/>
    <w:semiHidden/>
    <w:qFormat/>
    <w:uiPriority w:val="9"/>
    <w:rPr>
      <w:rFonts w:asciiTheme="majorHAnsi" w:hAnsiTheme="majorHAnsi" w:eastAsiaTheme="majorEastAsia" w:cstheme="majorBidi"/>
      <w:b/>
      <w:bCs/>
      <w:sz w:val="24"/>
      <w:szCs w:val="24"/>
    </w:rPr>
  </w:style>
  <w:style w:type="character" w:customStyle="1" w:styleId="76">
    <w:name w:val="标题 7 Char"/>
    <w:basedOn w:val="61"/>
    <w:semiHidden/>
    <w:qFormat/>
    <w:uiPriority w:val="9"/>
    <w:rPr>
      <w:rFonts w:ascii="Calibri" w:hAnsi="Calibri" w:eastAsia="宋体" w:cs="黑体"/>
      <w:b/>
      <w:bCs/>
      <w:sz w:val="24"/>
      <w:szCs w:val="24"/>
    </w:rPr>
  </w:style>
  <w:style w:type="character" w:customStyle="1" w:styleId="77">
    <w:name w:val="标题 8 Char"/>
    <w:basedOn w:val="61"/>
    <w:semiHidden/>
    <w:qFormat/>
    <w:uiPriority w:val="9"/>
    <w:rPr>
      <w:rFonts w:asciiTheme="majorHAnsi" w:hAnsiTheme="majorHAnsi" w:eastAsiaTheme="majorEastAsia" w:cstheme="majorBidi"/>
      <w:sz w:val="24"/>
      <w:szCs w:val="24"/>
    </w:rPr>
  </w:style>
  <w:style w:type="character" w:customStyle="1" w:styleId="78">
    <w:name w:val="标题 9 Char"/>
    <w:basedOn w:val="61"/>
    <w:semiHidden/>
    <w:qFormat/>
    <w:uiPriority w:val="9"/>
    <w:rPr>
      <w:rFonts w:asciiTheme="majorHAnsi" w:hAnsiTheme="majorHAnsi" w:eastAsiaTheme="majorEastAsia" w:cstheme="majorBidi"/>
      <w:szCs w:val="21"/>
    </w:rPr>
  </w:style>
  <w:style w:type="paragraph" w:customStyle="1" w:styleId="79">
    <w:name w:val="_Style 25"/>
    <w:basedOn w:val="24"/>
    <w:next w:val="57"/>
    <w:qFormat/>
    <w:uiPriority w:val="0"/>
    <w:pPr>
      <w:ind w:firstLine="420" w:firstLineChars="100"/>
    </w:pPr>
    <w:rPr>
      <w:rFonts w:ascii="Times New Roman" w:hAnsi="Times New Roman" w:cs="Times New Roman"/>
    </w:rPr>
  </w:style>
  <w:style w:type="character" w:customStyle="1" w:styleId="80">
    <w:name w:val="列出段落 Char"/>
    <w:link w:val="81"/>
    <w:qFormat/>
    <w:uiPriority w:val="34"/>
    <w:rPr>
      <w:szCs w:val="24"/>
    </w:rPr>
  </w:style>
  <w:style w:type="paragraph" w:customStyle="1" w:styleId="81">
    <w:name w:val="列出段落1"/>
    <w:basedOn w:val="1"/>
    <w:link w:val="80"/>
    <w:qFormat/>
    <w:uiPriority w:val="34"/>
    <w:pPr>
      <w:ind w:firstLine="420" w:firstLineChars="200"/>
    </w:pPr>
    <w:rPr>
      <w:rFonts w:asciiTheme="minorHAnsi" w:hAnsiTheme="minorHAnsi" w:eastAsiaTheme="minorEastAsia" w:cstheme="minorBidi"/>
      <w:szCs w:val="24"/>
    </w:rPr>
  </w:style>
  <w:style w:type="character" w:customStyle="1" w:styleId="82">
    <w:name w:val="tpc_content1"/>
    <w:qFormat/>
    <w:uiPriority w:val="0"/>
    <w:rPr>
      <w:sz w:val="20"/>
      <w:szCs w:val="20"/>
    </w:rPr>
  </w:style>
  <w:style w:type="character" w:customStyle="1" w:styleId="83">
    <w:name w:val="正文文本缩进 Char2"/>
    <w:basedOn w:val="61"/>
    <w:link w:val="25"/>
    <w:qFormat/>
    <w:uiPriority w:val="0"/>
    <w:rPr>
      <w:rFonts w:ascii="Calibri" w:hAnsi="Calibri" w:eastAsia="宋体" w:cs="黑体"/>
      <w:szCs w:val="24"/>
    </w:rPr>
  </w:style>
  <w:style w:type="character" w:customStyle="1" w:styleId="84">
    <w:name w:val="Ò³Ã¼ Char Char"/>
    <w:qFormat/>
    <w:uiPriority w:val="0"/>
    <w:rPr>
      <w:rFonts w:eastAsia="宋体"/>
      <w:kern w:val="2"/>
      <w:sz w:val="18"/>
      <w:szCs w:val="18"/>
      <w:lang w:val="en-US" w:eastAsia="zh-CN" w:bidi="ar-SA"/>
    </w:rPr>
  </w:style>
  <w:style w:type="character" w:customStyle="1" w:styleId="85">
    <w:name w:val="apple-style-span"/>
    <w:basedOn w:val="61"/>
    <w:qFormat/>
    <w:uiPriority w:val="0"/>
  </w:style>
  <w:style w:type="character" w:customStyle="1" w:styleId="86">
    <w:name w:val="Char Char13"/>
    <w:qFormat/>
    <w:uiPriority w:val="0"/>
    <w:rPr>
      <w:rFonts w:eastAsia="宋体"/>
      <w:kern w:val="2"/>
      <w:sz w:val="18"/>
      <w:szCs w:val="18"/>
      <w:lang w:val="en-US" w:eastAsia="zh-CN" w:bidi="ar-SA"/>
    </w:rPr>
  </w:style>
  <w:style w:type="character" w:customStyle="1" w:styleId="87">
    <w:name w:val="称呼 Char"/>
    <w:qFormat/>
    <w:uiPriority w:val="0"/>
    <w:rPr>
      <w:rFonts w:eastAsia="宋体"/>
      <w:b/>
      <w:sz w:val="24"/>
    </w:rPr>
  </w:style>
  <w:style w:type="character" w:customStyle="1" w:styleId="88">
    <w:name w:val="脚注文本 Char"/>
    <w:qFormat/>
    <w:uiPriority w:val="0"/>
    <w:rPr>
      <w:rFonts w:eastAsia="宋体"/>
      <w:sz w:val="18"/>
      <w:szCs w:val="18"/>
    </w:rPr>
  </w:style>
  <w:style w:type="character" w:customStyle="1" w:styleId="89">
    <w:name w:val="标题 字符"/>
    <w:qFormat/>
    <w:uiPriority w:val="0"/>
    <w:rPr>
      <w:rFonts w:ascii="Cambria" w:hAnsi="Cambria"/>
      <w:b/>
      <w:bCs/>
      <w:kern w:val="2"/>
      <w:sz w:val="24"/>
      <w:szCs w:val="32"/>
    </w:rPr>
  </w:style>
  <w:style w:type="character" w:customStyle="1" w:styleId="90">
    <w:name w:val="标题 Char3"/>
    <w:link w:val="55"/>
    <w:qFormat/>
    <w:uiPriority w:val="0"/>
    <w:rPr>
      <w:rFonts w:ascii="Cambria" w:hAnsi="Cambria" w:eastAsia="宋体" w:cs="黑体"/>
      <w:b/>
      <w:bCs/>
      <w:sz w:val="32"/>
      <w:szCs w:val="32"/>
    </w:rPr>
  </w:style>
  <w:style w:type="character" w:customStyle="1" w:styleId="91">
    <w:name w:val="标题 Char"/>
    <w:qFormat/>
    <w:uiPriority w:val="0"/>
    <w:rPr>
      <w:rFonts w:ascii="Arial" w:hAnsi="Arial"/>
      <w:b/>
      <w:sz w:val="32"/>
    </w:rPr>
  </w:style>
  <w:style w:type="character" w:customStyle="1" w:styleId="92">
    <w:name w:val="批注框文本 Char2"/>
    <w:link w:val="36"/>
    <w:qFormat/>
    <w:uiPriority w:val="99"/>
    <w:rPr>
      <w:sz w:val="18"/>
      <w:szCs w:val="18"/>
    </w:rPr>
  </w:style>
  <w:style w:type="character" w:customStyle="1" w:styleId="93">
    <w:name w:val="标题 Char1"/>
    <w:qFormat/>
    <w:uiPriority w:val="10"/>
    <w:rPr>
      <w:rFonts w:ascii="Cambria" w:hAnsi="Cambria" w:eastAsia="宋体" w:cs="Times New Roman"/>
      <w:b/>
      <w:bCs/>
      <w:sz w:val="32"/>
      <w:szCs w:val="32"/>
    </w:rPr>
  </w:style>
  <w:style w:type="character" w:customStyle="1" w:styleId="94">
    <w:name w:val="Char Char9"/>
    <w:qFormat/>
    <w:uiPriority w:val="0"/>
    <w:rPr>
      <w:rFonts w:ascii="Cambria" w:hAnsi="Cambria" w:eastAsia="宋体" w:cs="Times New Roman"/>
      <w:b/>
      <w:bCs/>
      <w:kern w:val="2"/>
      <w:sz w:val="28"/>
      <w:szCs w:val="28"/>
    </w:rPr>
  </w:style>
  <w:style w:type="character" w:customStyle="1" w:styleId="95">
    <w:name w:val="正文文本缩进 3 Char2"/>
    <w:link w:val="45"/>
    <w:qFormat/>
    <w:uiPriority w:val="99"/>
    <w:rPr>
      <w:sz w:val="16"/>
      <w:szCs w:val="16"/>
    </w:rPr>
  </w:style>
  <w:style w:type="character" w:customStyle="1" w:styleId="96">
    <w:name w:val="Char Char61"/>
    <w:qFormat/>
    <w:uiPriority w:val="0"/>
    <w:rPr>
      <w:rFonts w:ascii="宋体"/>
      <w:kern w:val="2"/>
      <w:sz w:val="18"/>
      <w:szCs w:val="18"/>
      <w:lang w:bidi="ar-SA"/>
    </w:rPr>
  </w:style>
  <w:style w:type="character" w:customStyle="1" w:styleId="97">
    <w:name w:val="标题 2 Char1"/>
    <w:link w:val="3"/>
    <w:qFormat/>
    <w:uiPriority w:val="0"/>
    <w:rPr>
      <w:rFonts w:ascii="Arial" w:hAnsi="Arial" w:eastAsia="宋体" w:cs="Times New Roman"/>
      <w:b/>
      <w:sz w:val="32"/>
      <w:szCs w:val="20"/>
    </w:rPr>
  </w:style>
  <w:style w:type="character" w:customStyle="1" w:styleId="98">
    <w:name w:val="标题 8 Char1"/>
    <w:link w:val="11"/>
    <w:qFormat/>
    <w:uiPriority w:val="0"/>
    <w:rPr>
      <w:rFonts w:ascii="Arial" w:hAnsi="Arial" w:eastAsia="黑体" w:cs="Times New Roman"/>
      <w:kern w:val="0"/>
      <w:sz w:val="24"/>
      <w:szCs w:val="24"/>
    </w:rPr>
  </w:style>
  <w:style w:type="character" w:customStyle="1" w:styleId="99">
    <w:name w:val="副标题 Char2"/>
    <w:link w:val="42"/>
    <w:qFormat/>
    <w:uiPriority w:val="0"/>
    <w:rPr>
      <w:rFonts w:ascii="Cambria" w:hAnsi="Cambria" w:eastAsia="宋体" w:cs="黑体"/>
      <w:b/>
      <w:bCs/>
      <w:kern w:val="28"/>
      <w:sz w:val="32"/>
      <w:szCs w:val="32"/>
    </w:rPr>
  </w:style>
  <w:style w:type="character" w:customStyle="1" w:styleId="100">
    <w:name w:val="正文文本 2 Char"/>
    <w:qFormat/>
    <w:uiPriority w:val="0"/>
    <w:rPr>
      <w:szCs w:val="24"/>
    </w:rPr>
  </w:style>
  <w:style w:type="character" w:customStyle="1" w:styleId="101">
    <w:name w:val="批注文字 Char"/>
    <w:qFormat/>
    <w:uiPriority w:val="0"/>
    <w:rPr>
      <w:kern w:val="2"/>
      <w:sz w:val="21"/>
      <w:szCs w:val="24"/>
    </w:rPr>
  </w:style>
  <w:style w:type="character" w:customStyle="1" w:styleId="102">
    <w:name w:val="页脚 Char2"/>
    <w:link w:val="37"/>
    <w:qFormat/>
    <w:uiPriority w:val="99"/>
    <w:rPr>
      <w:rFonts w:ascii="Times New Roman" w:hAnsi="Times New Roman" w:eastAsia="宋体" w:cs="Times New Roman"/>
      <w:sz w:val="18"/>
      <w:szCs w:val="20"/>
    </w:rPr>
  </w:style>
  <w:style w:type="character" w:customStyle="1" w:styleId="103">
    <w:name w:val="HTML 预设格式 Char2"/>
    <w:link w:val="51"/>
    <w:qFormat/>
    <w:uiPriority w:val="99"/>
    <w:rPr>
      <w:rFonts w:ascii="Courier New" w:hAnsi="Courier New" w:cs="Courier New"/>
      <w:sz w:val="20"/>
      <w:szCs w:val="20"/>
    </w:rPr>
  </w:style>
  <w:style w:type="character" w:customStyle="1" w:styleId="104">
    <w:name w:val="文档结构图 Char1"/>
    <w:qFormat/>
    <w:uiPriority w:val="99"/>
    <w:rPr>
      <w:rFonts w:ascii="宋体" w:hAnsi="Times New Roman" w:eastAsia="宋体" w:cs="Times New Roman"/>
      <w:sz w:val="18"/>
      <w:szCs w:val="18"/>
    </w:rPr>
  </w:style>
  <w:style w:type="character" w:customStyle="1" w:styleId="105">
    <w:name w:val="纯文本 Char1"/>
    <w:qFormat/>
    <w:uiPriority w:val="99"/>
    <w:rPr>
      <w:rFonts w:ascii="宋体" w:hAnsi="Courier New" w:eastAsia="宋体" w:cs="Courier New"/>
      <w:szCs w:val="21"/>
    </w:rPr>
  </w:style>
  <w:style w:type="character" w:customStyle="1" w:styleId="106">
    <w:name w:val="样式 标题 2 + (中文) 宋体 五号 非加粗 黑色 Char Char"/>
    <w:qFormat/>
    <w:uiPriority w:val="0"/>
    <w:rPr>
      <w:rFonts w:eastAsia="黑体"/>
      <w:b/>
      <w:color w:val="000000"/>
      <w:kern w:val="2"/>
      <w:sz w:val="28"/>
      <w:lang w:val="en-US" w:eastAsia="zh-CN" w:bidi="ar-SA"/>
    </w:rPr>
  </w:style>
  <w:style w:type="character" w:customStyle="1" w:styleId="107">
    <w:name w:val="批注文字 Char2"/>
    <w:basedOn w:val="61"/>
    <w:link w:val="19"/>
    <w:qFormat/>
    <w:uiPriority w:val="99"/>
    <w:rPr>
      <w:rFonts w:ascii="Calibri" w:hAnsi="Calibri" w:eastAsia="宋体" w:cs="黑体"/>
    </w:rPr>
  </w:style>
  <w:style w:type="character" w:customStyle="1" w:styleId="108">
    <w:name w:val="尾注文本 Char2"/>
    <w:basedOn w:val="61"/>
    <w:link w:val="35"/>
    <w:qFormat/>
    <w:uiPriority w:val="99"/>
    <w:rPr>
      <w:rFonts w:ascii="Calibri" w:hAnsi="Calibri" w:eastAsia="宋体" w:cs="黑体"/>
      <w:szCs w:val="24"/>
    </w:rPr>
  </w:style>
  <w:style w:type="character" w:customStyle="1" w:styleId="109">
    <w:name w:val="Char Char8"/>
    <w:qFormat/>
    <w:uiPriority w:val="0"/>
    <w:rPr>
      <w:rFonts w:eastAsia="宋体"/>
      <w:sz w:val="18"/>
      <w:lang w:val="en-US" w:eastAsia="zh-CN" w:bidi="ar-SA"/>
    </w:rPr>
  </w:style>
  <w:style w:type="character" w:customStyle="1" w:styleId="110">
    <w:name w:val="Char Char91"/>
    <w:qFormat/>
    <w:uiPriority w:val="0"/>
    <w:rPr>
      <w:rFonts w:ascii="Cambria" w:hAnsi="Cambria" w:eastAsia="宋体" w:cs="Times New Roman"/>
      <w:b/>
      <w:bCs/>
      <w:kern w:val="2"/>
      <w:sz w:val="28"/>
      <w:szCs w:val="28"/>
    </w:rPr>
  </w:style>
  <w:style w:type="character" w:customStyle="1" w:styleId="111">
    <w:name w:val="h3 Char1"/>
    <w:qFormat/>
    <w:uiPriority w:val="0"/>
    <w:rPr>
      <w:b/>
      <w:bCs/>
      <w:sz w:val="32"/>
      <w:szCs w:val="32"/>
    </w:rPr>
  </w:style>
  <w:style w:type="character" w:customStyle="1" w:styleId="112">
    <w:name w:val="批注主题 Char1"/>
    <w:qFormat/>
    <w:uiPriority w:val="99"/>
    <w:rPr>
      <w:b/>
      <w:bCs/>
      <w:kern w:val="2"/>
      <w:sz w:val="21"/>
      <w:szCs w:val="24"/>
    </w:rPr>
  </w:style>
  <w:style w:type="character" w:customStyle="1" w:styleId="113">
    <w:name w:val="font161"/>
    <w:qFormat/>
    <w:uiPriority w:val="0"/>
    <w:rPr>
      <w:b/>
      <w:bCs/>
      <w:sz w:val="32"/>
      <w:szCs w:val="32"/>
    </w:rPr>
  </w:style>
  <w:style w:type="character" w:customStyle="1" w:styleId="114">
    <w:name w:val="msoins"/>
    <w:basedOn w:val="61"/>
    <w:qFormat/>
    <w:uiPriority w:val="0"/>
  </w:style>
  <w:style w:type="character" w:customStyle="1" w:styleId="115">
    <w:name w:val="Char Char41"/>
    <w:qFormat/>
    <w:uiPriority w:val="0"/>
    <w:rPr>
      <w:rFonts w:ascii="宋体" w:eastAsia="宋体"/>
      <w:b/>
      <w:bCs/>
      <w:kern w:val="2"/>
      <w:sz w:val="21"/>
      <w:szCs w:val="24"/>
      <w:lang w:val="en-US" w:eastAsia="zh-CN" w:bidi="ar-SA"/>
    </w:rPr>
  </w:style>
  <w:style w:type="character" w:customStyle="1" w:styleId="116">
    <w:name w:val="Char Char121"/>
    <w:qFormat/>
    <w:uiPriority w:val="0"/>
    <w:rPr>
      <w:rFonts w:ascii="Arial" w:hAnsi="Arial" w:eastAsia="黑体" w:cs="Times New Roman"/>
      <w:bCs/>
      <w:kern w:val="44"/>
      <w:sz w:val="30"/>
      <w:szCs w:val="30"/>
    </w:rPr>
  </w:style>
  <w:style w:type="character" w:customStyle="1" w:styleId="117">
    <w:name w:val="标题 5 Char1"/>
    <w:link w:val="8"/>
    <w:qFormat/>
    <w:uiPriority w:val="0"/>
    <w:rPr>
      <w:rFonts w:ascii="Times New Roman" w:hAnsi="Times New Roman" w:eastAsia="楷体_GB2312" w:cs="Times New Roman"/>
      <w:sz w:val="28"/>
      <w:szCs w:val="24"/>
    </w:rPr>
  </w:style>
  <w:style w:type="character" w:customStyle="1" w:styleId="118">
    <w:name w:val="标题 1 Char1"/>
    <w:link w:val="2"/>
    <w:qFormat/>
    <w:uiPriority w:val="0"/>
    <w:rPr>
      <w:rFonts w:ascii="Times New Roman" w:hAnsi="Times New Roman" w:eastAsia="宋体" w:cs="Times New Roman"/>
      <w:b/>
      <w:kern w:val="44"/>
      <w:sz w:val="44"/>
      <w:szCs w:val="20"/>
    </w:rPr>
  </w:style>
  <w:style w:type="character" w:customStyle="1" w:styleId="119">
    <w:name w:val="样式 标题 2 + (中文) 宋体 五号 Char Char"/>
    <w:link w:val="120"/>
    <w:qFormat/>
    <w:uiPriority w:val="0"/>
    <w:rPr>
      <w:color w:val="000000"/>
      <w:sz w:val="24"/>
    </w:rPr>
  </w:style>
  <w:style w:type="paragraph" w:customStyle="1" w:styleId="120">
    <w:name w:val="样式 标题 2 + (中文) 宋体 五号"/>
    <w:basedOn w:val="3"/>
    <w:link w:val="119"/>
    <w:qFormat/>
    <w:uiPriority w:val="0"/>
    <w:pPr>
      <w:adjustRightInd w:val="0"/>
      <w:snapToGrid w:val="0"/>
      <w:spacing w:before="0" w:after="0" w:line="240" w:lineRule="auto"/>
      <w:jc w:val="left"/>
    </w:pPr>
    <w:rPr>
      <w:rFonts w:asciiTheme="minorHAnsi" w:hAnsiTheme="minorHAnsi" w:eastAsiaTheme="minorEastAsia" w:cstheme="minorBidi"/>
      <w:b w:val="0"/>
      <w:color w:val="000000"/>
      <w:sz w:val="24"/>
      <w:szCs w:val="22"/>
    </w:rPr>
  </w:style>
  <w:style w:type="character" w:customStyle="1" w:styleId="121">
    <w:name w:val="font21"/>
    <w:qFormat/>
    <w:uiPriority w:val="0"/>
    <w:rPr>
      <w:rFonts w:hint="eastAsia" w:ascii="宋体" w:hAnsi="宋体" w:eastAsia="宋体"/>
      <w:color w:val="000000"/>
      <w:sz w:val="24"/>
      <w:szCs w:val="24"/>
      <w:u w:val="none"/>
    </w:rPr>
  </w:style>
  <w:style w:type="character" w:customStyle="1" w:styleId="122">
    <w:name w:val="数字"/>
    <w:qFormat/>
    <w:uiPriority w:val="0"/>
    <w:rPr>
      <w:rFonts w:eastAsia="黑体"/>
      <w:b/>
      <w:sz w:val="21"/>
    </w:rPr>
  </w:style>
  <w:style w:type="character" w:customStyle="1" w:styleId="123">
    <w:name w:val="纯文本 Char"/>
    <w:qFormat/>
    <w:uiPriority w:val="0"/>
    <w:rPr>
      <w:rFonts w:ascii="宋体" w:hAnsi="Courier New" w:eastAsia="宋体"/>
    </w:rPr>
  </w:style>
  <w:style w:type="character" w:customStyle="1" w:styleId="124">
    <w:name w:val="文档结构图 Char2"/>
    <w:link w:val="18"/>
    <w:qFormat/>
    <w:uiPriority w:val="0"/>
    <w:rPr>
      <w:rFonts w:ascii="宋体" w:eastAsia="宋体"/>
      <w:sz w:val="18"/>
      <w:szCs w:val="18"/>
    </w:rPr>
  </w:style>
  <w:style w:type="character" w:customStyle="1" w:styleId="125">
    <w:name w:val="正文首行缩进 Char2"/>
    <w:basedOn w:val="126"/>
    <w:link w:val="57"/>
    <w:semiHidden/>
    <w:qFormat/>
    <w:uiPriority w:val="99"/>
    <w:rPr>
      <w:rFonts w:ascii="Calibri" w:hAnsi="Calibri" w:eastAsia="宋体" w:cs="黑体"/>
      <w:szCs w:val="24"/>
    </w:rPr>
  </w:style>
  <w:style w:type="character" w:customStyle="1" w:styleId="126">
    <w:name w:val="正文文本 Char3"/>
    <w:basedOn w:val="61"/>
    <w:link w:val="24"/>
    <w:qFormat/>
    <w:uiPriority w:val="99"/>
    <w:rPr>
      <w:rFonts w:ascii="Calibri" w:hAnsi="Calibri" w:eastAsia="宋体" w:cs="黑体"/>
      <w:szCs w:val="24"/>
    </w:rPr>
  </w:style>
  <w:style w:type="character" w:customStyle="1" w:styleId="127">
    <w:name w:val="脚注文本 Char1"/>
    <w:qFormat/>
    <w:uiPriority w:val="99"/>
    <w:rPr>
      <w:rFonts w:ascii="Times New Roman" w:hAnsi="Times New Roman" w:eastAsia="宋体" w:cs="Times New Roman"/>
      <w:sz w:val="18"/>
      <w:szCs w:val="18"/>
    </w:rPr>
  </w:style>
  <w:style w:type="character" w:customStyle="1" w:styleId="128">
    <w:name w:val="批注主题 Char3"/>
    <w:link w:val="56"/>
    <w:qFormat/>
    <w:uiPriority w:val="99"/>
    <w:rPr>
      <w:b/>
      <w:bCs/>
    </w:rPr>
  </w:style>
  <w:style w:type="character" w:customStyle="1" w:styleId="129">
    <w:name w:val="正文首行缩进 2 Char"/>
    <w:basedOn w:val="130"/>
    <w:link w:val="58"/>
    <w:qFormat/>
    <w:uiPriority w:val="0"/>
    <w:rPr>
      <w:szCs w:val="24"/>
    </w:rPr>
  </w:style>
  <w:style w:type="character" w:customStyle="1" w:styleId="130">
    <w:name w:val="正文文本缩进 Char"/>
    <w:qFormat/>
    <w:uiPriority w:val="0"/>
    <w:rPr>
      <w:szCs w:val="24"/>
    </w:rPr>
  </w:style>
  <w:style w:type="character" w:customStyle="1" w:styleId="131">
    <w:name w:val="Char Char71"/>
    <w:qFormat/>
    <w:uiPriority w:val="0"/>
    <w:rPr>
      <w:rFonts w:eastAsia="宋体"/>
      <w:b/>
      <w:kern w:val="2"/>
      <w:sz w:val="32"/>
      <w:szCs w:val="24"/>
      <w:lang w:val="en-US" w:eastAsia="zh-CN" w:bidi="ar-SA"/>
    </w:rPr>
  </w:style>
  <w:style w:type="character" w:customStyle="1" w:styleId="132">
    <w:name w:val="手改 Char"/>
    <w:qFormat/>
    <w:uiPriority w:val="0"/>
    <w:rPr>
      <w:rFonts w:eastAsia="宋体"/>
      <w:kern w:val="2"/>
      <w:sz w:val="21"/>
      <w:szCs w:val="24"/>
      <w:lang w:val="en-US" w:eastAsia="zh-CN" w:bidi="ar-SA"/>
    </w:rPr>
  </w:style>
  <w:style w:type="character" w:customStyle="1" w:styleId="133">
    <w:name w:val="称呼 Char3"/>
    <w:basedOn w:val="61"/>
    <w:link w:val="21"/>
    <w:qFormat/>
    <w:uiPriority w:val="99"/>
    <w:rPr>
      <w:rFonts w:ascii="Calibri" w:hAnsi="Calibri" w:eastAsia="宋体" w:cs="黑体"/>
      <w:b/>
      <w:sz w:val="24"/>
    </w:rPr>
  </w:style>
  <w:style w:type="character" w:customStyle="1" w:styleId="134">
    <w:name w:val="正文文本 2 Char2"/>
    <w:basedOn w:val="61"/>
    <w:link w:val="50"/>
    <w:qFormat/>
    <w:uiPriority w:val="99"/>
    <w:rPr>
      <w:rFonts w:ascii="Calibri" w:hAnsi="Calibri" w:eastAsia="宋体" w:cs="黑体"/>
      <w:szCs w:val="24"/>
    </w:rPr>
  </w:style>
  <w:style w:type="character" w:customStyle="1" w:styleId="135">
    <w:name w:val="Char Char1"/>
    <w:qFormat/>
    <w:uiPriority w:val="0"/>
    <w:rPr>
      <w:rFonts w:eastAsia="宋体"/>
      <w:kern w:val="2"/>
      <w:sz w:val="18"/>
      <w:szCs w:val="18"/>
      <w:lang w:val="en-US" w:eastAsia="zh-CN" w:bidi="ar-SA"/>
    </w:rPr>
  </w:style>
  <w:style w:type="character" w:customStyle="1" w:styleId="136">
    <w:name w:val="s1"/>
    <w:qFormat/>
    <w:uiPriority w:val="0"/>
    <w:rPr>
      <w:sz w:val="18"/>
      <w:szCs w:val="18"/>
    </w:rPr>
  </w:style>
  <w:style w:type="character" w:customStyle="1" w:styleId="137">
    <w:name w:val="标题 7 Char1"/>
    <w:link w:val="10"/>
    <w:qFormat/>
    <w:uiPriority w:val="0"/>
    <w:rPr>
      <w:rFonts w:ascii="Times New Roman" w:hAnsi="Times New Roman" w:eastAsia="宋体" w:cs="Times New Roman"/>
      <w:b/>
      <w:bCs/>
      <w:kern w:val="0"/>
      <w:sz w:val="24"/>
      <w:szCs w:val="24"/>
    </w:rPr>
  </w:style>
  <w:style w:type="character" w:customStyle="1" w:styleId="138">
    <w:name w:val="标题 6 Char1"/>
    <w:link w:val="9"/>
    <w:qFormat/>
    <w:uiPriority w:val="0"/>
    <w:rPr>
      <w:rFonts w:ascii="Arial" w:hAnsi="Arial" w:eastAsia="黑体" w:cs="Times New Roman"/>
      <w:b/>
      <w:bCs/>
      <w:kern w:val="0"/>
      <w:sz w:val="24"/>
      <w:szCs w:val="24"/>
    </w:rPr>
  </w:style>
  <w:style w:type="character" w:customStyle="1" w:styleId="139">
    <w:name w:val="Char Char131"/>
    <w:qFormat/>
    <w:uiPriority w:val="0"/>
    <w:rPr>
      <w:rFonts w:eastAsia="宋体"/>
      <w:kern w:val="2"/>
      <w:sz w:val="18"/>
      <w:szCs w:val="18"/>
      <w:lang w:val="en-US" w:eastAsia="zh-CN" w:bidi="ar-SA"/>
    </w:rPr>
  </w:style>
  <w:style w:type="character" w:customStyle="1" w:styleId="140">
    <w:name w:val="日期 Char2"/>
    <w:basedOn w:val="61"/>
    <w:link w:val="33"/>
    <w:qFormat/>
    <w:uiPriority w:val="99"/>
    <w:rPr>
      <w:rFonts w:ascii="Calibri" w:hAnsi="Calibri" w:eastAsia="宋体" w:cs="黑体"/>
      <w:sz w:val="24"/>
    </w:rPr>
  </w:style>
  <w:style w:type="character" w:customStyle="1" w:styleId="141">
    <w:name w:val="Char Char12"/>
    <w:qFormat/>
    <w:uiPriority w:val="0"/>
    <w:rPr>
      <w:rFonts w:ascii="Arial" w:hAnsi="Arial" w:eastAsia="黑体" w:cs="Times New Roman"/>
      <w:bCs/>
      <w:kern w:val="44"/>
      <w:sz w:val="30"/>
      <w:szCs w:val="30"/>
    </w:rPr>
  </w:style>
  <w:style w:type="character" w:customStyle="1" w:styleId="142">
    <w:name w:val="副标题 Char"/>
    <w:qFormat/>
    <w:uiPriority w:val="0"/>
    <w:rPr>
      <w:rFonts w:ascii="Cambria" w:hAnsi="Cambria"/>
      <w:b/>
      <w:bCs/>
      <w:kern w:val="28"/>
      <w:sz w:val="32"/>
      <w:szCs w:val="32"/>
    </w:rPr>
  </w:style>
  <w:style w:type="character" w:customStyle="1" w:styleId="143">
    <w:name w:val="正文文本缩进 2 Char"/>
    <w:qFormat/>
    <w:uiPriority w:val="0"/>
    <w:rPr>
      <w:rFonts w:ascii="宋体" w:hAnsi="宋体"/>
      <w:sz w:val="27"/>
      <w:szCs w:val="27"/>
    </w:rPr>
  </w:style>
  <w:style w:type="character" w:customStyle="1" w:styleId="144">
    <w:name w:val="Char Char101"/>
    <w:qFormat/>
    <w:uiPriority w:val="0"/>
    <w:rPr>
      <w:b/>
      <w:bCs/>
      <w:sz w:val="32"/>
      <w:szCs w:val="32"/>
    </w:rPr>
  </w:style>
  <w:style w:type="character" w:customStyle="1" w:styleId="145">
    <w:name w:val="页眉 Char2"/>
    <w:link w:val="38"/>
    <w:qFormat/>
    <w:uiPriority w:val="99"/>
    <w:rPr>
      <w:rFonts w:asciiTheme="minorHAnsi" w:hAnsiTheme="minorHAnsi" w:eastAsiaTheme="minorEastAsia" w:cstheme="minorBidi"/>
      <w:kern w:val="2"/>
      <w:sz w:val="18"/>
      <w:szCs w:val="18"/>
    </w:rPr>
  </w:style>
  <w:style w:type="character" w:customStyle="1" w:styleId="146">
    <w:name w:val="批注主题 Char"/>
    <w:qFormat/>
    <w:uiPriority w:val="0"/>
    <w:rPr>
      <w:rFonts w:ascii="宋体" w:eastAsia="宋体"/>
      <w:b/>
      <w:bCs/>
      <w:szCs w:val="24"/>
    </w:rPr>
  </w:style>
  <w:style w:type="character" w:customStyle="1" w:styleId="147">
    <w:name w:val="尾注文本 Char"/>
    <w:qFormat/>
    <w:uiPriority w:val="0"/>
    <w:rPr>
      <w:szCs w:val="24"/>
    </w:rPr>
  </w:style>
  <w:style w:type="character" w:customStyle="1" w:styleId="148">
    <w:name w:val="样式 (中文) 黑体 三号 加粗"/>
    <w:qFormat/>
    <w:uiPriority w:val="0"/>
    <w:rPr>
      <w:rFonts w:eastAsia="黑体"/>
      <w:b/>
      <w:bCs/>
      <w:sz w:val="44"/>
    </w:rPr>
  </w:style>
  <w:style w:type="character" w:customStyle="1" w:styleId="149">
    <w:name w:val="段 Char Char"/>
    <w:link w:val="150"/>
    <w:qFormat/>
    <w:uiPriority w:val="0"/>
    <w:rPr>
      <w:rFonts w:ascii="宋体" w:hAnsi="Times New Roman" w:eastAsia="宋体" w:cs="Times New Roman"/>
      <w:kern w:val="0"/>
      <w:sz w:val="24"/>
      <w:szCs w:val="20"/>
    </w:rPr>
  </w:style>
  <w:style w:type="paragraph" w:customStyle="1" w:styleId="150">
    <w:name w:val="段"/>
    <w:link w:val="149"/>
    <w:qFormat/>
    <w:uiPriority w:val="0"/>
    <w:pPr>
      <w:widowControl w:val="0"/>
      <w:autoSpaceDE w:val="0"/>
      <w:autoSpaceDN w:val="0"/>
      <w:adjustRightInd w:val="0"/>
      <w:spacing w:line="360" w:lineRule="auto"/>
      <w:ind w:firstLine="200" w:firstLineChars="200"/>
      <w:jc w:val="both"/>
      <w:textAlignment w:val="baseline"/>
    </w:pPr>
    <w:rPr>
      <w:rFonts w:ascii="宋体" w:hAnsi="Times New Roman" w:eastAsia="宋体" w:cs="Times New Roman"/>
      <w:sz w:val="24"/>
      <w:lang w:val="en-US" w:eastAsia="zh-CN" w:bidi="ar-SA"/>
    </w:rPr>
  </w:style>
  <w:style w:type="character" w:customStyle="1" w:styleId="151">
    <w:name w:val="标题 3 Char2"/>
    <w:link w:val="5"/>
    <w:qFormat/>
    <w:uiPriority w:val="0"/>
    <w:rPr>
      <w:rFonts w:ascii="Times New Roman" w:hAnsi="Times New Roman" w:eastAsia="宋体" w:cs="Times New Roman"/>
      <w:b/>
      <w:sz w:val="32"/>
      <w:szCs w:val="24"/>
    </w:rPr>
  </w:style>
  <w:style w:type="character" w:customStyle="1" w:styleId="152">
    <w:name w:val="H2 Char"/>
    <w:qFormat/>
    <w:uiPriority w:val="0"/>
    <w:rPr>
      <w:rFonts w:ascii="Cambria" w:hAnsi="Cambria" w:eastAsia="宋体" w:cs="Times New Roman"/>
      <w:b/>
      <w:bCs/>
      <w:sz w:val="32"/>
      <w:szCs w:val="32"/>
    </w:rPr>
  </w:style>
  <w:style w:type="character" w:customStyle="1" w:styleId="153">
    <w:name w:val="Char Char4"/>
    <w:qFormat/>
    <w:uiPriority w:val="0"/>
    <w:rPr>
      <w:rFonts w:ascii="宋体" w:eastAsia="宋体"/>
      <w:b/>
      <w:bCs/>
      <w:kern w:val="2"/>
      <w:sz w:val="21"/>
      <w:szCs w:val="24"/>
      <w:lang w:val="en-US" w:eastAsia="zh-CN" w:bidi="ar-SA"/>
    </w:rPr>
  </w:style>
  <w:style w:type="character" w:customStyle="1" w:styleId="154">
    <w:name w:val="HTML 预设格式 Char"/>
    <w:qFormat/>
    <w:uiPriority w:val="0"/>
    <w:rPr>
      <w:rFonts w:ascii="黑体" w:hAnsi="Courier New" w:eastAsia="黑体" w:cs="Courier New"/>
    </w:rPr>
  </w:style>
  <w:style w:type="character" w:customStyle="1" w:styleId="155">
    <w:name w:val="纯文本 Char Char"/>
    <w:qFormat/>
    <w:uiPriority w:val="0"/>
    <w:rPr>
      <w:rFonts w:ascii="宋体" w:hAnsi="Courier New" w:eastAsia="宋体"/>
      <w:kern w:val="2"/>
      <w:sz w:val="21"/>
      <w:lang w:val="en-US" w:eastAsia="zh-CN" w:bidi="ar-SA"/>
    </w:rPr>
  </w:style>
  <w:style w:type="character" w:customStyle="1" w:styleId="156">
    <w:name w:val="font11"/>
    <w:qFormat/>
    <w:uiPriority w:val="0"/>
    <w:rPr>
      <w:rFonts w:hint="default" w:ascii="Times New Roman" w:hAnsi="Times New Roman" w:cs="Times New Roman"/>
      <w:color w:val="000000"/>
      <w:sz w:val="24"/>
      <w:szCs w:val="24"/>
      <w:u w:val="none"/>
    </w:rPr>
  </w:style>
  <w:style w:type="character" w:customStyle="1" w:styleId="157">
    <w:name w:val="称呼 Char1"/>
    <w:qFormat/>
    <w:uiPriority w:val="99"/>
    <w:rPr>
      <w:rFonts w:ascii="Times New Roman" w:hAnsi="Times New Roman" w:eastAsia="宋体" w:cs="Times New Roman"/>
      <w:szCs w:val="24"/>
    </w:rPr>
  </w:style>
  <w:style w:type="character" w:customStyle="1" w:styleId="158">
    <w:name w:val="Para head"/>
    <w:qFormat/>
    <w:uiPriority w:val="0"/>
    <w:rPr>
      <w:sz w:val="20"/>
    </w:rPr>
  </w:style>
  <w:style w:type="character" w:customStyle="1" w:styleId="159">
    <w:name w:val="style11"/>
    <w:qFormat/>
    <w:uiPriority w:val="0"/>
    <w:rPr>
      <w:b/>
      <w:bCs/>
      <w:color w:val="000000"/>
      <w:sz w:val="24"/>
      <w:szCs w:val="24"/>
    </w:rPr>
  </w:style>
  <w:style w:type="character" w:customStyle="1" w:styleId="160">
    <w:name w:val="123YJ Char Char"/>
    <w:qFormat/>
    <w:uiPriority w:val="0"/>
    <w:rPr>
      <w:rFonts w:eastAsia="宋体"/>
      <w:kern w:val="2"/>
      <w:sz w:val="18"/>
      <w:szCs w:val="18"/>
      <w:lang w:val="en-US" w:eastAsia="zh-CN" w:bidi="ar-SA"/>
    </w:rPr>
  </w:style>
  <w:style w:type="character" w:customStyle="1" w:styleId="161">
    <w:name w:val="Char Char11"/>
    <w:qFormat/>
    <w:uiPriority w:val="0"/>
    <w:rPr>
      <w:rFonts w:ascii="Cambria" w:hAnsi="Cambria" w:eastAsia="宋体" w:cs="Times New Roman"/>
      <w:b/>
      <w:bCs/>
      <w:sz w:val="32"/>
      <w:szCs w:val="32"/>
    </w:rPr>
  </w:style>
  <w:style w:type="character" w:customStyle="1" w:styleId="162">
    <w:name w:val="标题 4 Char1"/>
    <w:link w:val="7"/>
    <w:qFormat/>
    <w:uiPriority w:val="0"/>
    <w:rPr>
      <w:rFonts w:cs="宋体" w:asciiTheme="minorEastAsia" w:hAnsiTheme="minorEastAsia"/>
      <w:b/>
      <w:sz w:val="24"/>
      <w:szCs w:val="24"/>
    </w:rPr>
  </w:style>
  <w:style w:type="character" w:customStyle="1" w:styleId="163">
    <w:name w:val="正文缩进 Char"/>
    <w:link w:val="6"/>
    <w:qFormat/>
    <w:uiPriority w:val="0"/>
    <w:rPr>
      <w:rFonts w:ascii="Times New Roman" w:hAnsi="Times New Roman" w:eastAsia="宋体" w:cs="Times New Roman"/>
      <w:szCs w:val="24"/>
    </w:rPr>
  </w:style>
  <w:style w:type="character" w:customStyle="1" w:styleId="164">
    <w:name w:val="unnamed11"/>
    <w:qFormat/>
    <w:uiPriority w:val="0"/>
    <w:rPr>
      <w:sz w:val="18"/>
      <w:szCs w:val="18"/>
      <w:u w:val="none"/>
    </w:rPr>
  </w:style>
  <w:style w:type="character" w:customStyle="1" w:styleId="165">
    <w:name w:val="日期 Char"/>
    <w:qFormat/>
    <w:uiPriority w:val="0"/>
    <w:rPr>
      <w:sz w:val="24"/>
    </w:rPr>
  </w:style>
  <w:style w:type="character" w:customStyle="1" w:styleId="166">
    <w:name w:val="Char Char111"/>
    <w:qFormat/>
    <w:uiPriority w:val="0"/>
    <w:rPr>
      <w:rFonts w:ascii="Cambria" w:hAnsi="Cambria" w:eastAsia="宋体" w:cs="Times New Roman"/>
      <w:b/>
      <w:bCs/>
      <w:sz w:val="32"/>
      <w:szCs w:val="32"/>
    </w:rPr>
  </w:style>
  <w:style w:type="character" w:customStyle="1" w:styleId="167">
    <w:name w:val="正文文本 3 Char"/>
    <w:qFormat/>
    <w:uiPriority w:val="0"/>
    <w:rPr>
      <w:rFonts w:ascii="宋体"/>
      <w:sz w:val="24"/>
    </w:rPr>
  </w:style>
  <w:style w:type="character" w:customStyle="1" w:styleId="168">
    <w:name w:val="正文文本 Char1"/>
    <w:semiHidden/>
    <w:qFormat/>
    <w:uiPriority w:val="99"/>
    <w:rPr>
      <w:rFonts w:ascii="Times New Roman" w:hAnsi="Times New Roman" w:eastAsia="宋体" w:cs="Times New Roman"/>
      <w:szCs w:val="24"/>
    </w:rPr>
  </w:style>
  <w:style w:type="character" w:customStyle="1" w:styleId="169">
    <w:name w:val="正文文本缩进 2 Char2"/>
    <w:basedOn w:val="61"/>
    <w:link w:val="34"/>
    <w:qFormat/>
    <w:uiPriority w:val="99"/>
    <w:rPr>
      <w:rFonts w:ascii="宋体" w:hAnsi="宋体" w:eastAsia="宋体" w:cs="黑体"/>
      <w:sz w:val="27"/>
      <w:szCs w:val="27"/>
    </w:rPr>
  </w:style>
  <w:style w:type="character" w:customStyle="1" w:styleId="170">
    <w:name w:val="textcontents"/>
    <w:basedOn w:val="61"/>
    <w:qFormat/>
    <w:uiPriority w:val="0"/>
  </w:style>
  <w:style w:type="character" w:customStyle="1" w:styleId="171">
    <w:name w:val="Char Char"/>
    <w:qFormat/>
    <w:uiPriority w:val="0"/>
    <w:rPr>
      <w:rFonts w:eastAsia="宋体"/>
      <w:kern w:val="2"/>
      <w:sz w:val="18"/>
      <w:szCs w:val="18"/>
      <w:lang w:val="en-US" w:eastAsia="zh-CN" w:bidi="ar-SA"/>
    </w:rPr>
  </w:style>
  <w:style w:type="character" w:customStyle="1" w:styleId="172">
    <w:name w:val="Char Char7"/>
    <w:qFormat/>
    <w:uiPriority w:val="0"/>
    <w:rPr>
      <w:rFonts w:eastAsia="宋体"/>
      <w:b/>
      <w:kern w:val="2"/>
      <w:sz w:val="32"/>
      <w:szCs w:val="24"/>
      <w:lang w:val="en-US" w:eastAsia="zh-CN" w:bidi="ar-SA"/>
    </w:rPr>
  </w:style>
  <w:style w:type="character" w:customStyle="1" w:styleId="173">
    <w:name w:val="Char Char5"/>
    <w:link w:val="174"/>
    <w:qFormat/>
    <w:uiPriority w:val="0"/>
    <w:rPr>
      <w:szCs w:val="24"/>
    </w:rPr>
  </w:style>
  <w:style w:type="paragraph" w:customStyle="1" w:styleId="174">
    <w:name w:val="Char"/>
    <w:basedOn w:val="1"/>
    <w:link w:val="173"/>
    <w:qFormat/>
    <w:uiPriority w:val="0"/>
    <w:rPr>
      <w:rFonts w:asciiTheme="minorHAnsi" w:hAnsiTheme="minorHAnsi" w:eastAsiaTheme="minorEastAsia" w:cstheme="minorBidi"/>
      <w:szCs w:val="24"/>
    </w:rPr>
  </w:style>
  <w:style w:type="character" w:customStyle="1" w:styleId="175">
    <w:name w:val="正文文本缩进 3 Char"/>
    <w:qFormat/>
    <w:uiPriority w:val="0"/>
    <w:rPr>
      <w:sz w:val="16"/>
      <w:szCs w:val="16"/>
    </w:rPr>
  </w:style>
  <w:style w:type="character" w:customStyle="1" w:styleId="176">
    <w:name w:val="my正文 Char"/>
    <w:link w:val="177"/>
    <w:qFormat/>
    <w:uiPriority w:val="0"/>
    <w:rPr>
      <w:sz w:val="28"/>
      <w:szCs w:val="24"/>
    </w:rPr>
  </w:style>
  <w:style w:type="paragraph" w:customStyle="1" w:styleId="177">
    <w:name w:val="my正文"/>
    <w:basedOn w:val="1"/>
    <w:link w:val="176"/>
    <w:qFormat/>
    <w:uiPriority w:val="0"/>
    <w:pPr>
      <w:spacing w:line="360" w:lineRule="auto"/>
      <w:ind w:firstLine="200" w:firstLineChars="200"/>
    </w:pPr>
    <w:rPr>
      <w:rFonts w:asciiTheme="minorHAnsi" w:hAnsiTheme="minorHAnsi" w:eastAsiaTheme="minorEastAsia" w:cstheme="minorBidi"/>
      <w:sz w:val="28"/>
      <w:szCs w:val="24"/>
    </w:rPr>
  </w:style>
  <w:style w:type="character" w:customStyle="1" w:styleId="178">
    <w:name w:val="页眉 Char"/>
    <w:qFormat/>
    <w:uiPriority w:val="99"/>
    <w:rPr>
      <w:sz w:val="18"/>
    </w:rPr>
  </w:style>
  <w:style w:type="character" w:customStyle="1" w:styleId="179">
    <w:name w:val="样式 正文首行缩进 + 首行缩进:  1 字符 Char"/>
    <w:link w:val="180"/>
    <w:qFormat/>
    <w:uiPriority w:val="0"/>
    <w:rPr>
      <w:rFonts w:cs="宋体"/>
      <w:sz w:val="24"/>
    </w:rPr>
  </w:style>
  <w:style w:type="paragraph" w:customStyle="1" w:styleId="180">
    <w:name w:val="样式 正文首行缩进 + 首行缩进:  1 字符"/>
    <w:basedOn w:val="57"/>
    <w:link w:val="179"/>
    <w:qFormat/>
    <w:uiPriority w:val="0"/>
    <w:pPr>
      <w:adjustRightInd w:val="0"/>
      <w:spacing w:line="360" w:lineRule="auto"/>
      <w:ind w:firstLine="100" w:firstLineChars="200"/>
    </w:pPr>
    <w:rPr>
      <w:rFonts w:cs="宋体" w:asciiTheme="minorHAnsi" w:hAnsiTheme="minorHAnsi" w:eastAsiaTheme="minorEastAsia"/>
      <w:sz w:val="24"/>
    </w:rPr>
  </w:style>
  <w:style w:type="character" w:customStyle="1" w:styleId="181">
    <w:name w:val="纯文本 Char3"/>
    <w:link w:val="30"/>
    <w:qFormat/>
    <w:uiPriority w:val="99"/>
    <w:rPr>
      <w:rFonts w:ascii="宋体" w:hAnsi="Courier New" w:eastAsia="宋体" w:cs="Courier New"/>
      <w:szCs w:val="21"/>
    </w:rPr>
  </w:style>
  <w:style w:type="character" w:customStyle="1" w:styleId="182">
    <w:name w:val="页脚 Char1"/>
    <w:semiHidden/>
    <w:qFormat/>
    <w:uiPriority w:val="99"/>
    <w:rPr>
      <w:rFonts w:ascii="Times New Roman" w:hAnsi="Times New Roman" w:eastAsia="宋体" w:cs="Times New Roman"/>
      <w:sz w:val="18"/>
      <w:szCs w:val="18"/>
    </w:rPr>
  </w:style>
  <w:style w:type="character" w:customStyle="1" w:styleId="183">
    <w:name w:val="正文首行缩进 Char"/>
    <w:qFormat/>
    <w:uiPriority w:val="0"/>
    <w:rPr>
      <w:rFonts w:ascii="Times New Roman" w:hAnsi="Times New Roman" w:eastAsia="宋体" w:cs="Times New Roman"/>
      <w:szCs w:val="24"/>
    </w:rPr>
  </w:style>
  <w:style w:type="character" w:customStyle="1" w:styleId="184">
    <w:name w:val="NormalCharacter"/>
    <w:qFormat/>
    <w:uiPriority w:val="0"/>
  </w:style>
  <w:style w:type="character" w:customStyle="1" w:styleId="185">
    <w:name w:val="标题 9 Char1"/>
    <w:link w:val="12"/>
    <w:qFormat/>
    <w:uiPriority w:val="0"/>
    <w:rPr>
      <w:rFonts w:ascii="Arial" w:hAnsi="Arial" w:eastAsia="黑体" w:cs="Times New Roman"/>
      <w:kern w:val="0"/>
      <w:szCs w:val="21"/>
    </w:rPr>
  </w:style>
  <w:style w:type="character" w:customStyle="1" w:styleId="186">
    <w:name w:val="批注框文本 Char"/>
    <w:qFormat/>
    <w:uiPriority w:val="0"/>
    <w:rPr>
      <w:sz w:val="18"/>
      <w:szCs w:val="18"/>
    </w:rPr>
  </w:style>
  <w:style w:type="character" w:customStyle="1" w:styleId="187">
    <w:name w:val="Char Char51"/>
    <w:link w:val="188"/>
    <w:qFormat/>
    <w:uiPriority w:val="0"/>
    <w:rPr>
      <w:rFonts w:eastAsia="宋体"/>
      <w:szCs w:val="24"/>
    </w:rPr>
  </w:style>
  <w:style w:type="paragraph" w:customStyle="1" w:styleId="188">
    <w:name w:val="Char111"/>
    <w:basedOn w:val="1"/>
    <w:link w:val="187"/>
    <w:qFormat/>
    <w:uiPriority w:val="0"/>
    <w:rPr>
      <w:rFonts w:asciiTheme="minorHAnsi" w:hAnsiTheme="minorHAnsi" w:cstheme="minorBidi"/>
      <w:szCs w:val="24"/>
    </w:rPr>
  </w:style>
  <w:style w:type="character" w:customStyle="1" w:styleId="189">
    <w:name w:val="脚注文本 Char3"/>
    <w:link w:val="44"/>
    <w:qFormat/>
    <w:uiPriority w:val="99"/>
    <w:rPr>
      <w:sz w:val="18"/>
      <w:szCs w:val="18"/>
    </w:rPr>
  </w:style>
  <w:style w:type="character" w:customStyle="1" w:styleId="190">
    <w:name w:val="Char Char10"/>
    <w:qFormat/>
    <w:uiPriority w:val="0"/>
    <w:rPr>
      <w:rFonts w:eastAsia="宋体"/>
      <w:kern w:val="2"/>
      <w:sz w:val="18"/>
      <w:szCs w:val="18"/>
      <w:lang w:val="en-US" w:eastAsia="zh-CN" w:bidi="ar-SA"/>
    </w:rPr>
  </w:style>
  <w:style w:type="character" w:customStyle="1" w:styleId="191">
    <w:name w:val="标题 2 Char Char"/>
    <w:qFormat/>
    <w:uiPriority w:val="0"/>
    <w:rPr>
      <w:rFonts w:eastAsia="黑体"/>
      <w:b/>
      <w:kern w:val="2"/>
      <w:sz w:val="28"/>
      <w:lang w:val="en-US" w:eastAsia="zh-CN" w:bidi="ar-SA"/>
    </w:rPr>
  </w:style>
  <w:style w:type="character" w:customStyle="1" w:styleId="192">
    <w:name w:val="样式 标题 2 + (中文) 宋体 五号 非加粗 Char Char Char"/>
    <w:qFormat/>
    <w:uiPriority w:val="0"/>
    <w:rPr>
      <w:rFonts w:ascii="宋体" w:hAnsi="宋体" w:cs="Arial"/>
      <w:kern w:val="2"/>
      <w:sz w:val="28"/>
      <w:szCs w:val="24"/>
      <w:lang w:val="en-US" w:eastAsia="zh-CN"/>
    </w:rPr>
  </w:style>
  <w:style w:type="character" w:customStyle="1" w:styleId="193">
    <w:name w:val="Char Char81"/>
    <w:qFormat/>
    <w:uiPriority w:val="0"/>
    <w:rPr>
      <w:b/>
      <w:bCs/>
      <w:kern w:val="2"/>
      <w:sz w:val="28"/>
      <w:szCs w:val="28"/>
    </w:rPr>
  </w:style>
  <w:style w:type="character" w:customStyle="1" w:styleId="194">
    <w:name w:val="正文文本 Char"/>
    <w:qFormat/>
    <w:uiPriority w:val="0"/>
    <w:rPr>
      <w:rFonts w:eastAsia="宋体"/>
      <w:szCs w:val="24"/>
    </w:rPr>
  </w:style>
  <w:style w:type="character" w:customStyle="1" w:styleId="195">
    <w:name w:val="标题 3 Char1"/>
    <w:qFormat/>
    <w:uiPriority w:val="0"/>
    <w:rPr>
      <w:rFonts w:ascii="宋体" w:hAnsi="宋体" w:cs="宋体"/>
      <w:b/>
      <w:bCs/>
      <w:sz w:val="24"/>
      <w:szCs w:val="24"/>
    </w:rPr>
  </w:style>
  <w:style w:type="character" w:customStyle="1" w:styleId="196">
    <w:name w:val="Char Char6"/>
    <w:qFormat/>
    <w:uiPriority w:val="0"/>
    <w:rPr>
      <w:rFonts w:ascii="宋体"/>
      <w:kern w:val="2"/>
      <w:sz w:val="18"/>
      <w:szCs w:val="18"/>
      <w:lang w:bidi="ar-SA"/>
    </w:rPr>
  </w:style>
  <w:style w:type="character" w:customStyle="1" w:styleId="197">
    <w:name w:val="Char Char15"/>
    <w:qFormat/>
    <w:uiPriority w:val="0"/>
    <w:rPr>
      <w:rFonts w:ascii="宋体"/>
      <w:kern w:val="2"/>
      <w:sz w:val="18"/>
      <w:szCs w:val="18"/>
    </w:rPr>
  </w:style>
  <w:style w:type="character" w:customStyle="1" w:styleId="198">
    <w:name w:val="blue1"/>
    <w:basedOn w:val="61"/>
    <w:qFormat/>
    <w:uiPriority w:val="0"/>
  </w:style>
  <w:style w:type="character" w:customStyle="1" w:styleId="199">
    <w:name w:val="正文文本 3 Char2"/>
    <w:link w:val="22"/>
    <w:qFormat/>
    <w:uiPriority w:val="99"/>
    <w:rPr>
      <w:sz w:val="16"/>
      <w:szCs w:val="16"/>
    </w:rPr>
  </w:style>
  <w:style w:type="character" w:customStyle="1" w:styleId="200">
    <w:name w:val="正文文本首行缩进 2 字符"/>
    <w:basedOn w:val="83"/>
    <w:semiHidden/>
    <w:qFormat/>
    <w:uiPriority w:val="99"/>
    <w:rPr>
      <w:rFonts w:ascii="Calibri" w:hAnsi="Calibri" w:eastAsia="宋体" w:cs="黑体"/>
      <w:szCs w:val="24"/>
    </w:rPr>
  </w:style>
  <w:style w:type="character" w:customStyle="1" w:styleId="201">
    <w:name w:val="font01"/>
    <w:qFormat/>
    <w:uiPriority w:val="0"/>
    <w:rPr>
      <w:rFonts w:hint="eastAsia" w:ascii="宋体" w:hAnsi="宋体" w:eastAsia="宋体"/>
      <w:color w:val="000000"/>
      <w:sz w:val="24"/>
      <w:szCs w:val="24"/>
      <w:u w:val="none"/>
    </w:rPr>
  </w:style>
  <w:style w:type="character" w:customStyle="1" w:styleId="202">
    <w:name w:val="正文文本 3 Char1"/>
    <w:basedOn w:val="61"/>
    <w:semiHidden/>
    <w:qFormat/>
    <w:uiPriority w:val="99"/>
    <w:rPr>
      <w:rFonts w:ascii="Calibri" w:hAnsi="Calibri" w:eastAsia="宋体" w:cs="黑体"/>
      <w:sz w:val="16"/>
      <w:szCs w:val="16"/>
    </w:rPr>
  </w:style>
  <w:style w:type="character" w:customStyle="1" w:styleId="203">
    <w:name w:val="正文文本 Char2"/>
    <w:basedOn w:val="61"/>
    <w:semiHidden/>
    <w:qFormat/>
    <w:uiPriority w:val="99"/>
    <w:rPr>
      <w:rFonts w:ascii="Calibri" w:hAnsi="Calibri" w:eastAsia="宋体" w:cs="黑体"/>
    </w:rPr>
  </w:style>
  <w:style w:type="character" w:customStyle="1" w:styleId="204">
    <w:name w:val="称呼 Char2"/>
    <w:basedOn w:val="61"/>
    <w:semiHidden/>
    <w:qFormat/>
    <w:uiPriority w:val="99"/>
    <w:rPr>
      <w:rFonts w:ascii="Calibri" w:hAnsi="Calibri" w:eastAsia="宋体" w:cs="黑体"/>
    </w:rPr>
  </w:style>
  <w:style w:type="character" w:customStyle="1" w:styleId="205">
    <w:name w:val="批注文字 Char1"/>
    <w:basedOn w:val="61"/>
    <w:semiHidden/>
    <w:qFormat/>
    <w:uiPriority w:val="99"/>
    <w:rPr>
      <w:rFonts w:ascii="Calibri" w:hAnsi="Calibri" w:eastAsia="宋体" w:cs="黑体"/>
    </w:rPr>
  </w:style>
  <w:style w:type="character" w:customStyle="1" w:styleId="206">
    <w:name w:val="正文文本缩进 Char1"/>
    <w:basedOn w:val="61"/>
    <w:semiHidden/>
    <w:qFormat/>
    <w:uiPriority w:val="99"/>
    <w:rPr>
      <w:rFonts w:ascii="Calibri" w:hAnsi="Calibri" w:eastAsia="宋体" w:cs="黑体"/>
    </w:rPr>
  </w:style>
  <w:style w:type="character" w:customStyle="1" w:styleId="207">
    <w:name w:val="文档结构图 Char"/>
    <w:basedOn w:val="61"/>
    <w:semiHidden/>
    <w:qFormat/>
    <w:uiPriority w:val="99"/>
    <w:rPr>
      <w:rFonts w:ascii="宋体" w:hAnsi="Calibri" w:eastAsia="宋体" w:cs="黑体"/>
      <w:sz w:val="18"/>
      <w:szCs w:val="18"/>
    </w:rPr>
  </w:style>
  <w:style w:type="paragraph" w:customStyle="1" w:styleId="208">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imes New Roman"/>
      <w:kern w:val="0"/>
      <w:sz w:val="24"/>
      <w:szCs w:val="24"/>
    </w:rPr>
  </w:style>
  <w:style w:type="character" w:customStyle="1" w:styleId="209">
    <w:name w:val="正文文本缩进 2 Char1"/>
    <w:basedOn w:val="61"/>
    <w:semiHidden/>
    <w:qFormat/>
    <w:uiPriority w:val="99"/>
    <w:rPr>
      <w:rFonts w:ascii="Calibri" w:hAnsi="Calibri" w:eastAsia="宋体" w:cs="黑体"/>
    </w:rPr>
  </w:style>
  <w:style w:type="paragraph" w:customStyle="1" w:styleId="210">
    <w:name w:val="表格2"/>
    <w:basedOn w:val="1"/>
    <w:qFormat/>
    <w:uiPriority w:val="0"/>
    <w:pPr>
      <w:adjustRightInd w:val="0"/>
      <w:spacing w:line="420" w:lineRule="atLeast"/>
      <w:ind w:left="284" w:firstLine="454"/>
      <w:textAlignment w:val="baseline"/>
    </w:pPr>
    <w:rPr>
      <w:rFonts w:ascii="Times New Roman" w:hAnsi="Times New Roman" w:cs="Times New Roman"/>
      <w:kern w:val="0"/>
      <w:szCs w:val="20"/>
    </w:rPr>
  </w:style>
  <w:style w:type="character" w:customStyle="1" w:styleId="211">
    <w:name w:val="正文文本缩进 3 Char1"/>
    <w:basedOn w:val="61"/>
    <w:semiHidden/>
    <w:qFormat/>
    <w:uiPriority w:val="99"/>
    <w:rPr>
      <w:rFonts w:ascii="Calibri" w:hAnsi="Calibri" w:eastAsia="宋体" w:cs="黑体"/>
      <w:sz w:val="16"/>
      <w:szCs w:val="16"/>
    </w:rPr>
  </w:style>
  <w:style w:type="paragraph" w:customStyle="1" w:styleId="212">
    <w:name w:val="格式1"/>
    <w:basedOn w:val="1"/>
    <w:qFormat/>
    <w:uiPriority w:val="0"/>
    <w:pPr>
      <w:spacing w:beforeLines="50"/>
      <w:jc w:val="center"/>
    </w:pPr>
    <w:rPr>
      <w:rFonts w:ascii="黑体" w:hAnsi="宋体" w:eastAsia="黑体" w:cs="Times New Roman"/>
      <w:b/>
      <w:bCs/>
      <w:color w:val="000000"/>
      <w:sz w:val="32"/>
      <w:szCs w:val="20"/>
    </w:rPr>
  </w:style>
  <w:style w:type="paragraph" w:customStyle="1" w:styleId="213">
    <w:name w:val="样式 标题 2 + 非加粗 行距: 1.5 倍行距"/>
    <w:basedOn w:val="3"/>
    <w:qFormat/>
    <w:uiPriority w:val="0"/>
    <w:pPr>
      <w:spacing w:before="0" w:after="0" w:line="360" w:lineRule="auto"/>
    </w:pPr>
    <w:rPr>
      <w:rFonts w:ascii="Times New Roman" w:hAnsi="Times New Roman" w:cs="宋体"/>
      <w:i/>
      <w:iCs/>
      <w:sz w:val="28"/>
      <w:szCs w:val="24"/>
    </w:rPr>
  </w:style>
  <w:style w:type="paragraph" w:customStyle="1" w:styleId="214">
    <w:name w:val="Char Char Char Char Char Char1 Char Char Char Char1"/>
    <w:basedOn w:val="1"/>
    <w:qFormat/>
    <w:uiPriority w:val="0"/>
    <w:rPr>
      <w:rFonts w:ascii="仿宋_GB2312" w:hAnsi="Times New Roman" w:eastAsia="仿宋_GB2312" w:cs="Times New Roman"/>
      <w:b/>
      <w:sz w:val="32"/>
      <w:szCs w:val="32"/>
    </w:rPr>
  </w:style>
  <w:style w:type="paragraph" w:customStyle="1" w:styleId="21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Times New Roman"/>
      <w:kern w:val="0"/>
      <w:sz w:val="24"/>
      <w:szCs w:val="24"/>
    </w:rPr>
  </w:style>
  <w:style w:type="character" w:customStyle="1" w:styleId="216">
    <w:name w:val="尾注文本 Char1"/>
    <w:basedOn w:val="61"/>
    <w:semiHidden/>
    <w:qFormat/>
    <w:uiPriority w:val="99"/>
    <w:rPr>
      <w:rFonts w:ascii="Calibri" w:hAnsi="Calibri" w:eastAsia="宋体" w:cs="黑体"/>
    </w:rPr>
  </w:style>
  <w:style w:type="paragraph" w:customStyle="1" w:styleId="217">
    <w:name w:val="Char1"/>
    <w:basedOn w:val="1"/>
    <w:qFormat/>
    <w:uiPriority w:val="0"/>
    <w:rPr>
      <w:rFonts w:ascii="Times New Roman" w:hAnsi="Times New Roman" w:cs="Times New Roman"/>
      <w:szCs w:val="24"/>
    </w:rPr>
  </w:style>
  <w:style w:type="paragraph" w:customStyle="1" w:styleId="218">
    <w:name w:val="修订1"/>
    <w:qFormat/>
    <w:uiPriority w:val="0"/>
    <w:rPr>
      <w:rFonts w:ascii="Times New Roman" w:hAnsi="Times New Roman" w:eastAsia="宋体" w:cs="Times New Roman"/>
      <w:kern w:val="2"/>
      <w:sz w:val="21"/>
      <w:lang w:val="en-US" w:eastAsia="zh-CN" w:bidi="ar-SA"/>
    </w:rPr>
  </w:style>
  <w:style w:type="paragraph" w:customStyle="1" w:styleId="219">
    <w:name w:val="三级条标题"/>
    <w:basedOn w:val="220"/>
    <w:next w:val="150"/>
    <w:qFormat/>
    <w:uiPriority w:val="0"/>
    <w:pPr>
      <w:tabs>
        <w:tab w:val="left" w:pos="360"/>
        <w:tab w:val="left" w:pos="570"/>
        <w:tab w:val="left" w:pos="840"/>
      </w:tabs>
      <w:ind w:left="840" w:hanging="420"/>
      <w:outlineLvl w:val="4"/>
    </w:pPr>
  </w:style>
  <w:style w:type="paragraph" w:customStyle="1" w:styleId="220">
    <w:name w:val="二级条标题"/>
    <w:basedOn w:val="221"/>
    <w:next w:val="150"/>
    <w:qFormat/>
    <w:uiPriority w:val="0"/>
    <w:pPr>
      <w:tabs>
        <w:tab w:val="left" w:pos="360"/>
        <w:tab w:val="left" w:pos="570"/>
      </w:tabs>
      <w:spacing w:beforeLines="50"/>
      <w:outlineLvl w:val="3"/>
    </w:pPr>
  </w:style>
  <w:style w:type="paragraph" w:customStyle="1" w:styleId="221">
    <w:name w:val="一级条标题"/>
    <w:basedOn w:val="222"/>
    <w:next w:val="150"/>
    <w:qFormat/>
    <w:uiPriority w:val="0"/>
    <w:pPr>
      <w:tabs>
        <w:tab w:val="left" w:pos="360"/>
        <w:tab w:val="left" w:pos="570"/>
      </w:tabs>
      <w:spacing w:beforeLines="0" w:afterLines="0"/>
      <w:ind w:left="570" w:hanging="570"/>
      <w:outlineLvl w:val="2"/>
    </w:pPr>
    <w:rPr>
      <w:sz w:val="24"/>
    </w:rPr>
  </w:style>
  <w:style w:type="paragraph" w:customStyle="1" w:styleId="222">
    <w:name w:val="章标题"/>
    <w:next w:val="150"/>
    <w:qFormat/>
    <w:uiPriority w:val="0"/>
    <w:pPr>
      <w:widowControl w:val="0"/>
      <w:adjustRightInd w:val="0"/>
      <w:spacing w:beforeLines="50" w:afterLines="50" w:line="360" w:lineRule="atLeast"/>
      <w:jc w:val="both"/>
      <w:textAlignment w:val="baseline"/>
      <w:outlineLvl w:val="1"/>
    </w:pPr>
    <w:rPr>
      <w:rFonts w:ascii="黑体" w:hAnsi="Times New Roman" w:eastAsia="黑体" w:cs="Times New Roman"/>
      <w:sz w:val="21"/>
      <w:lang w:val="en-US" w:eastAsia="zh-CN" w:bidi="ar-SA"/>
    </w:rPr>
  </w:style>
  <w:style w:type="paragraph" w:customStyle="1" w:styleId="223">
    <w:name w:val="样式 标题 2 + (中文) 宋体 五号 非加粗 黑色"/>
    <w:basedOn w:val="3"/>
    <w:qFormat/>
    <w:uiPriority w:val="0"/>
    <w:pPr>
      <w:spacing w:before="0" w:after="0" w:line="400" w:lineRule="exact"/>
    </w:pPr>
    <w:rPr>
      <w:rFonts w:ascii="Times New Roman" w:hAnsi="Times New Roman"/>
      <w:i/>
      <w:iCs/>
      <w:color w:val="000000"/>
      <w:sz w:val="28"/>
      <w:szCs w:val="24"/>
    </w:rPr>
  </w:style>
  <w:style w:type="paragraph" w:customStyle="1" w:styleId="224">
    <w:name w:val="3"/>
    <w:basedOn w:val="1"/>
    <w:qFormat/>
    <w:uiPriority w:val="0"/>
    <w:pPr>
      <w:spacing w:before="100" w:line="360" w:lineRule="auto"/>
      <w:ind w:firstLine="454"/>
    </w:pPr>
    <w:rPr>
      <w:rFonts w:ascii="宋体" w:hAnsi="Times New Roman" w:cs="Times New Roman"/>
      <w:b/>
      <w:szCs w:val="20"/>
    </w:rPr>
  </w:style>
  <w:style w:type="character" w:customStyle="1" w:styleId="225">
    <w:name w:val="HTML 预设格式 Char1"/>
    <w:basedOn w:val="61"/>
    <w:semiHidden/>
    <w:qFormat/>
    <w:uiPriority w:val="99"/>
    <w:rPr>
      <w:rFonts w:ascii="Courier New" w:hAnsi="Courier New" w:eastAsia="宋体" w:cs="Courier New"/>
      <w:sz w:val="20"/>
      <w:szCs w:val="20"/>
    </w:rPr>
  </w:style>
  <w:style w:type="paragraph" w:customStyle="1" w:styleId="226">
    <w:name w:val="正文文本 311"/>
    <w:basedOn w:val="25"/>
    <w:qFormat/>
    <w:uiPriority w:val="0"/>
    <w:pPr>
      <w:autoSpaceDE w:val="0"/>
      <w:autoSpaceDN w:val="0"/>
      <w:adjustRightInd w:val="0"/>
      <w:ind w:left="360" w:leftChars="0"/>
      <w:jc w:val="left"/>
      <w:textAlignment w:val="baseline"/>
    </w:pPr>
    <w:rPr>
      <w:kern w:val="0"/>
      <w:sz w:val="20"/>
      <w:szCs w:val="20"/>
    </w:rPr>
  </w:style>
  <w:style w:type="paragraph" w:customStyle="1" w:styleId="227">
    <w:name w:val="MH-Spec TXT"/>
    <w:basedOn w:val="1"/>
    <w:qFormat/>
    <w:uiPriority w:val="0"/>
    <w:pPr>
      <w:spacing w:before="240"/>
      <w:jc w:val="left"/>
    </w:pPr>
    <w:rPr>
      <w:rFonts w:cs="Times New Roman"/>
      <w:kern w:val="0"/>
      <w:sz w:val="22"/>
      <w:szCs w:val="20"/>
    </w:rPr>
  </w:style>
  <w:style w:type="paragraph" w:customStyle="1" w:styleId="228">
    <w:name w:val="..1"/>
    <w:basedOn w:val="229"/>
    <w:next w:val="229"/>
    <w:qFormat/>
    <w:uiPriority w:val="0"/>
    <w:rPr>
      <w:rFonts w:ascii="新宋体" w:eastAsia="新宋体" w:cs="Times New Roman"/>
      <w:color w:val="auto"/>
    </w:rPr>
  </w:style>
  <w:style w:type="paragraph" w:customStyle="1" w:styleId="229">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30">
    <w:name w:val="样式 目录 1 + 段前: 0.4 行 段后: 0.4 行"/>
    <w:basedOn w:val="39"/>
    <w:qFormat/>
    <w:uiPriority w:val="0"/>
    <w:pPr>
      <w:adjustRightInd w:val="0"/>
      <w:snapToGrid w:val="0"/>
      <w:spacing w:beforeLines="100" w:afterLines="40"/>
    </w:pPr>
    <w:rPr>
      <w:rFonts w:ascii="Times New Roman" w:hAnsi="Times New Roman" w:eastAsia="楷体_GB2312" w:cs="宋体"/>
      <w:b/>
      <w:bCs/>
      <w:sz w:val="24"/>
      <w:szCs w:val="20"/>
    </w:rPr>
  </w:style>
  <w:style w:type="paragraph" w:customStyle="1" w:styleId="231">
    <w:name w:val="样式 首行缩进:  2 字符 段前: 0.5 行 段后: 0.5 行"/>
    <w:basedOn w:val="1"/>
    <w:next w:val="1"/>
    <w:qFormat/>
    <w:uiPriority w:val="0"/>
    <w:pPr>
      <w:adjustRightInd w:val="0"/>
      <w:snapToGrid w:val="0"/>
      <w:spacing w:before="156" w:line="312" w:lineRule="auto"/>
      <w:ind w:firstLine="480" w:firstLineChars="200"/>
    </w:pPr>
    <w:rPr>
      <w:rFonts w:ascii="Times New Roman" w:hAnsi="Times New Roman" w:eastAsia="楷体_GB2312" w:cs="Times New Roman"/>
      <w:sz w:val="24"/>
      <w:szCs w:val="20"/>
    </w:rPr>
  </w:style>
  <w:style w:type="paragraph" w:customStyle="1" w:styleId="232">
    <w:name w:val="表内文字"/>
    <w:basedOn w:val="1"/>
    <w:qFormat/>
    <w:uiPriority w:val="0"/>
    <w:pPr>
      <w:snapToGrid w:val="0"/>
    </w:pPr>
    <w:rPr>
      <w:rFonts w:ascii="Tahoma" w:hAnsi="Tahoma" w:cs="Tahoma"/>
      <w:szCs w:val="21"/>
    </w:rPr>
  </w:style>
  <w:style w:type="paragraph" w:customStyle="1" w:styleId="233">
    <w:name w:val="样式 标题 1 + 黑体 三号 非加粗 居中 段前: 6 磅 段后: 6 磅 行距: 固定值 20 磅"/>
    <w:basedOn w:val="2"/>
    <w:qFormat/>
    <w:uiPriority w:val="0"/>
    <w:pPr>
      <w:spacing w:before="120" w:after="120" w:line="400" w:lineRule="exact"/>
    </w:pPr>
    <w:rPr>
      <w:rFonts w:ascii="黑体" w:hAnsi="黑体" w:eastAsia="黑体" w:cs="宋体"/>
      <w:b w:val="0"/>
      <w:sz w:val="32"/>
    </w:rPr>
  </w:style>
  <w:style w:type="paragraph" w:customStyle="1" w:styleId="234">
    <w:name w:val="def正文"/>
    <w:basedOn w:val="24"/>
    <w:qFormat/>
    <w:uiPriority w:val="0"/>
    <w:pPr>
      <w:widowControl/>
      <w:spacing w:after="0" w:line="360" w:lineRule="auto"/>
      <w:jc w:val="center"/>
    </w:pPr>
    <w:rPr>
      <w:kern w:val="0"/>
      <w:sz w:val="24"/>
    </w:rPr>
  </w:style>
  <w:style w:type="paragraph" w:customStyle="1" w:styleId="235">
    <w:name w:val="blockquote"/>
    <w:basedOn w:val="1"/>
    <w:qFormat/>
    <w:uiPriority w:val="0"/>
    <w:pPr>
      <w:widowControl/>
      <w:spacing w:before="100" w:beforeAutospacing="1" w:after="100" w:afterAutospacing="1"/>
      <w:jc w:val="left"/>
    </w:pPr>
    <w:rPr>
      <w:rFonts w:ascii="宋体" w:hAnsi="宋体" w:cs="Times New Roman"/>
      <w:color w:val="000000"/>
      <w:kern w:val="0"/>
      <w:sz w:val="24"/>
      <w:szCs w:val="24"/>
    </w:rPr>
  </w:style>
  <w:style w:type="paragraph" w:customStyle="1" w:styleId="236">
    <w:name w:val="样式 标题 1 + 首行缩进:  2 字符 段前: 1 行 段后: 1 行"/>
    <w:basedOn w:val="2"/>
    <w:qFormat/>
    <w:uiPriority w:val="0"/>
    <w:pPr>
      <w:snapToGrid w:val="0"/>
      <w:spacing w:beforeLines="100" w:afterLines="100" w:line="336" w:lineRule="auto"/>
    </w:pPr>
    <w:rPr>
      <w:rFonts w:ascii="Arial" w:hAnsi="Arial" w:eastAsia="黑体" w:cs="宋体"/>
      <w:bCs/>
      <w:sz w:val="30"/>
    </w:rPr>
  </w:style>
  <w:style w:type="character" w:customStyle="1" w:styleId="237">
    <w:name w:val="批注主题 Char2"/>
    <w:basedOn w:val="205"/>
    <w:semiHidden/>
    <w:qFormat/>
    <w:uiPriority w:val="99"/>
    <w:rPr>
      <w:rFonts w:ascii="Calibri" w:hAnsi="Calibri" w:eastAsia="宋体" w:cs="黑体"/>
      <w:b/>
      <w:bCs/>
    </w:rPr>
  </w:style>
  <w:style w:type="paragraph" w:customStyle="1" w:styleId="238">
    <w:name w:val="MH-Spec 6S"/>
    <w:basedOn w:val="1"/>
    <w:qFormat/>
    <w:uiPriority w:val="0"/>
    <w:pPr>
      <w:widowControl/>
      <w:tabs>
        <w:tab w:val="left" w:pos="1134"/>
      </w:tabs>
      <w:spacing w:before="240"/>
      <w:ind w:left="1134" w:hanging="567"/>
      <w:jc w:val="left"/>
    </w:pPr>
    <w:rPr>
      <w:rFonts w:cs="Times New Roman"/>
      <w:kern w:val="0"/>
      <w:sz w:val="22"/>
      <w:szCs w:val="20"/>
      <w:lang w:bidi="en-US"/>
    </w:rPr>
  </w:style>
  <w:style w:type="paragraph" w:customStyle="1" w:styleId="239">
    <w:name w:val="Char Char Char Char Char Char1"/>
    <w:basedOn w:val="1"/>
    <w:qFormat/>
    <w:uiPriority w:val="0"/>
    <w:rPr>
      <w:rFonts w:ascii="Times New Roman" w:hAnsi="Times New Roman" w:cs="Times New Roman"/>
      <w:szCs w:val="24"/>
    </w:rPr>
  </w:style>
  <w:style w:type="character" w:customStyle="1" w:styleId="240">
    <w:name w:val="脚注文本 Char2"/>
    <w:basedOn w:val="61"/>
    <w:semiHidden/>
    <w:qFormat/>
    <w:uiPriority w:val="99"/>
    <w:rPr>
      <w:rFonts w:ascii="Calibri" w:hAnsi="Calibri" w:eastAsia="宋体" w:cs="黑体"/>
      <w:sz w:val="18"/>
      <w:szCs w:val="18"/>
    </w:rPr>
  </w:style>
  <w:style w:type="paragraph" w:customStyle="1" w:styleId="241">
    <w:name w:val="Char Char Char Char Char Char Char1"/>
    <w:basedOn w:val="1"/>
    <w:qFormat/>
    <w:uiPriority w:val="0"/>
    <w:pPr>
      <w:spacing w:line="480" w:lineRule="exact"/>
    </w:pPr>
    <w:rPr>
      <w:rFonts w:ascii="Times New Roman" w:hAnsi="Times New Roman" w:cs="Times New Roman"/>
      <w:szCs w:val="24"/>
    </w:rPr>
  </w:style>
  <w:style w:type="paragraph" w:customStyle="1" w:styleId="242">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kern w:val="0"/>
      <w:sz w:val="24"/>
      <w:szCs w:val="24"/>
    </w:rPr>
  </w:style>
  <w:style w:type="paragraph" w:customStyle="1" w:styleId="243">
    <w:name w:val="p17"/>
    <w:basedOn w:val="1"/>
    <w:qFormat/>
    <w:uiPriority w:val="0"/>
    <w:pPr>
      <w:widowControl/>
    </w:pPr>
    <w:rPr>
      <w:rFonts w:ascii="宋体" w:hAnsi="宋体" w:cs="宋体"/>
      <w:kern w:val="0"/>
      <w:szCs w:val="21"/>
    </w:rPr>
  </w:style>
  <w:style w:type="paragraph" w:customStyle="1" w:styleId="244">
    <w:name w:val="Char Char Char Char Char Char1 Char Char Char Char"/>
    <w:basedOn w:val="1"/>
    <w:qFormat/>
    <w:uiPriority w:val="0"/>
    <w:rPr>
      <w:rFonts w:ascii="仿宋_GB2312" w:hAnsi="Times New Roman" w:eastAsia="仿宋_GB2312" w:cs="Times New Roman"/>
      <w:b/>
      <w:sz w:val="32"/>
      <w:szCs w:val="32"/>
    </w:rPr>
  </w:style>
  <w:style w:type="paragraph" w:customStyle="1" w:styleId="245">
    <w:name w:val="正文列表"/>
    <w:qFormat/>
    <w:uiPriority w:val="0"/>
    <w:pPr>
      <w:widowControl w:val="0"/>
      <w:spacing w:line="360" w:lineRule="auto"/>
      <w:ind w:firstLine="540" w:firstLineChars="225"/>
      <w:jc w:val="both"/>
    </w:pPr>
    <w:rPr>
      <w:rFonts w:ascii="宋体" w:hAnsi="宋体" w:eastAsia="宋体" w:cs="Times New Roman"/>
      <w:color w:val="000000"/>
      <w:kern w:val="2"/>
      <w:sz w:val="24"/>
      <w:szCs w:val="24"/>
      <w:lang w:val="en-US" w:eastAsia="zh-CN" w:bidi="ar-SA"/>
    </w:rPr>
  </w:style>
  <w:style w:type="paragraph" w:customStyle="1" w:styleId="246">
    <w:name w:val="xl46"/>
    <w:basedOn w:val="1"/>
    <w:qFormat/>
    <w:uiPriority w:val="0"/>
    <w:pPr>
      <w:widowControl/>
      <w:spacing w:before="100" w:beforeAutospacing="1" w:after="100" w:afterAutospacing="1"/>
      <w:jc w:val="right"/>
      <w:textAlignment w:val="center"/>
    </w:pPr>
    <w:rPr>
      <w:rFonts w:ascii="Arial Unicode MS" w:hAnsi="Arial Unicode MS" w:eastAsia="Arial Unicode MS" w:cs="Arial Unicode MS"/>
      <w:kern w:val="0"/>
      <w:sz w:val="20"/>
      <w:szCs w:val="20"/>
    </w:rPr>
  </w:style>
  <w:style w:type="character" w:customStyle="1" w:styleId="247">
    <w:name w:val="标题 Char2"/>
    <w:basedOn w:val="61"/>
    <w:qFormat/>
    <w:uiPriority w:val="10"/>
    <w:rPr>
      <w:rFonts w:eastAsia="宋体" w:asciiTheme="majorHAnsi" w:hAnsiTheme="majorHAnsi" w:cstheme="majorBidi"/>
      <w:b/>
      <w:bCs/>
      <w:sz w:val="32"/>
      <w:szCs w:val="32"/>
    </w:rPr>
  </w:style>
  <w:style w:type="paragraph" w:customStyle="1" w:styleId="248">
    <w:name w:val="章、篇名"/>
    <w:basedOn w:val="1"/>
    <w:next w:val="1"/>
    <w:qFormat/>
    <w:uiPriority w:val="0"/>
    <w:pPr>
      <w:spacing w:before="480" w:after="360" w:line="560" w:lineRule="exact"/>
      <w:jc w:val="center"/>
    </w:pPr>
    <w:rPr>
      <w:rFonts w:ascii="Times New Roman" w:hAnsi="Times New Roman" w:eastAsia="文鼎大标宋简" w:cs="Times New Roman"/>
      <w:b/>
      <w:sz w:val="36"/>
      <w:szCs w:val="20"/>
    </w:rPr>
  </w:style>
  <w:style w:type="paragraph" w:customStyle="1" w:styleId="249">
    <w:name w:val="MH-Spec TXT 2"/>
    <w:basedOn w:val="1"/>
    <w:qFormat/>
    <w:uiPriority w:val="0"/>
    <w:pPr>
      <w:spacing w:beforeLines="100"/>
      <w:ind w:left="567"/>
      <w:jc w:val="left"/>
    </w:pPr>
    <w:rPr>
      <w:rFonts w:cs="Times New Roman"/>
      <w:kern w:val="28"/>
      <w:sz w:val="22"/>
      <w:szCs w:val="20"/>
    </w:rPr>
  </w:style>
  <w:style w:type="paragraph" w:customStyle="1" w:styleId="25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cs="Times New Roman"/>
      <w:kern w:val="0"/>
      <w:sz w:val="24"/>
      <w:szCs w:val="24"/>
    </w:rPr>
  </w:style>
  <w:style w:type="character" w:customStyle="1" w:styleId="251">
    <w:name w:val="页眉 Char1"/>
    <w:basedOn w:val="61"/>
    <w:semiHidden/>
    <w:qFormat/>
    <w:uiPriority w:val="99"/>
    <w:rPr>
      <w:rFonts w:ascii="Calibri" w:hAnsi="Calibri" w:eastAsia="宋体" w:cs="黑体"/>
      <w:sz w:val="18"/>
      <w:szCs w:val="18"/>
    </w:rPr>
  </w:style>
  <w:style w:type="paragraph" w:customStyle="1" w:styleId="252">
    <w:name w:val="MH-Spec 9S"/>
    <w:basedOn w:val="1"/>
    <w:qFormat/>
    <w:uiPriority w:val="0"/>
    <w:pPr>
      <w:ind w:left="2835" w:hanging="567"/>
      <w:jc w:val="left"/>
    </w:pPr>
    <w:rPr>
      <w:rFonts w:cs="Times New Roman"/>
      <w:kern w:val="0"/>
      <w:sz w:val="22"/>
      <w:szCs w:val="20"/>
      <w:lang w:eastAsia="en-US"/>
    </w:rPr>
  </w:style>
  <w:style w:type="character" w:customStyle="1" w:styleId="253">
    <w:name w:val="纯文本 Char2"/>
    <w:basedOn w:val="61"/>
    <w:semiHidden/>
    <w:qFormat/>
    <w:uiPriority w:val="99"/>
    <w:rPr>
      <w:rFonts w:ascii="宋体" w:hAnsi="Courier New" w:eastAsia="宋体" w:cs="Courier New"/>
      <w:szCs w:val="21"/>
    </w:rPr>
  </w:style>
  <w:style w:type="paragraph" w:customStyle="1" w:styleId="254">
    <w:name w:val="È±Ê¡ÎÄ±¾"/>
    <w:basedOn w:val="1"/>
    <w:qFormat/>
    <w:uiPriority w:val="0"/>
    <w:pPr>
      <w:widowControl/>
      <w:overflowPunct w:val="0"/>
      <w:autoSpaceDE w:val="0"/>
      <w:autoSpaceDN w:val="0"/>
      <w:adjustRightInd w:val="0"/>
      <w:jc w:val="left"/>
      <w:textAlignment w:val="baseline"/>
    </w:pPr>
    <w:rPr>
      <w:rFonts w:ascii="Times New Roman" w:hAnsi="Times New Roman" w:cs="Times New Roman"/>
      <w:kern w:val="0"/>
      <w:sz w:val="24"/>
      <w:szCs w:val="20"/>
    </w:rPr>
  </w:style>
  <w:style w:type="paragraph" w:customStyle="1" w:styleId="255">
    <w:name w:val="表格3"/>
    <w:basedOn w:val="1"/>
    <w:qFormat/>
    <w:uiPriority w:val="0"/>
    <w:pPr>
      <w:adjustRightInd w:val="0"/>
      <w:spacing w:line="420" w:lineRule="atLeast"/>
      <w:textAlignment w:val="baseline"/>
    </w:pPr>
    <w:rPr>
      <w:rFonts w:ascii="Times New Roman" w:hAnsi="Times New Roman" w:eastAsia="楷体" w:cs="Times New Roman"/>
      <w:kern w:val="0"/>
      <w:szCs w:val="20"/>
    </w:rPr>
  </w:style>
  <w:style w:type="paragraph" w:customStyle="1" w:styleId="256">
    <w:name w:val="±íÍ·"/>
    <w:basedOn w:val="1"/>
    <w:qFormat/>
    <w:uiPriority w:val="0"/>
    <w:pPr>
      <w:widowControl/>
      <w:overflowPunct w:val="0"/>
      <w:autoSpaceDE w:val="0"/>
      <w:autoSpaceDN w:val="0"/>
      <w:adjustRightInd w:val="0"/>
      <w:jc w:val="center"/>
      <w:textAlignment w:val="baseline"/>
    </w:pPr>
    <w:rPr>
      <w:rFonts w:ascii="Arial" w:hAnsi="Arial" w:cs="Times New Roman"/>
      <w:kern w:val="0"/>
      <w:sz w:val="18"/>
      <w:szCs w:val="20"/>
    </w:rPr>
  </w:style>
  <w:style w:type="character" w:customStyle="1" w:styleId="257">
    <w:name w:val="正文文本 2 Char1"/>
    <w:basedOn w:val="61"/>
    <w:semiHidden/>
    <w:qFormat/>
    <w:uiPriority w:val="99"/>
    <w:rPr>
      <w:rFonts w:ascii="Calibri" w:hAnsi="Calibri" w:eastAsia="宋体" w:cs="黑体"/>
    </w:rPr>
  </w:style>
  <w:style w:type="paragraph" w:customStyle="1" w:styleId="258">
    <w:name w:val="Char31"/>
    <w:basedOn w:val="1"/>
    <w:qFormat/>
    <w:uiPriority w:val="0"/>
    <w:pPr>
      <w:tabs>
        <w:tab w:val="left" w:pos="794"/>
        <w:tab w:val="left" w:pos="1191"/>
        <w:tab w:val="left" w:pos="1588"/>
        <w:tab w:val="left" w:pos="1985"/>
      </w:tabs>
      <w:autoSpaceDE w:val="0"/>
      <w:autoSpaceDN w:val="0"/>
      <w:adjustRightInd w:val="0"/>
      <w:spacing w:before="136"/>
    </w:pPr>
    <w:rPr>
      <w:rFonts w:ascii="Tahoma" w:hAnsi="Tahoma" w:cs="Times New Roman"/>
      <w:kern w:val="0"/>
      <w:sz w:val="24"/>
      <w:szCs w:val="20"/>
    </w:rPr>
  </w:style>
  <w:style w:type="paragraph" w:customStyle="1" w:styleId="259">
    <w:name w:val="Char1 Char Char Char1 Char Char Char Char Char Char Char Char Char"/>
    <w:basedOn w:val="1"/>
    <w:qFormat/>
    <w:uiPriority w:val="0"/>
    <w:pPr>
      <w:spacing w:before="120" w:after="120" w:line="360" w:lineRule="auto"/>
      <w:ind w:firstLine="200" w:firstLineChars="200"/>
    </w:pPr>
    <w:rPr>
      <w:rFonts w:cs="Times New Roman"/>
    </w:rPr>
  </w:style>
  <w:style w:type="paragraph" w:customStyle="1" w:styleId="260">
    <w:name w:val="1."/>
    <w:basedOn w:val="1"/>
    <w:qFormat/>
    <w:uiPriority w:val="0"/>
    <w:pPr>
      <w:tabs>
        <w:tab w:val="left" w:pos="360"/>
        <w:tab w:val="left" w:pos="2040"/>
      </w:tabs>
      <w:spacing w:line="360" w:lineRule="auto"/>
      <w:ind w:firstLine="482"/>
    </w:pPr>
    <w:rPr>
      <w:rFonts w:ascii="Times New Roman" w:hAnsi="Times New Roman" w:cs="Times New Roman"/>
      <w:sz w:val="28"/>
      <w:szCs w:val="20"/>
    </w:rPr>
  </w:style>
  <w:style w:type="paragraph" w:customStyle="1" w:styleId="261">
    <w:name w:val="表头"/>
    <w:basedOn w:val="262"/>
    <w:qFormat/>
    <w:uiPriority w:val="0"/>
    <w:rPr>
      <w:rFonts w:ascii="黑体" w:eastAsia="黑体"/>
      <w:b/>
    </w:rPr>
  </w:style>
  <w:style w:type="paragraph" w:customStyle="1" w:styleId="262">
    <w:name w:val="表格方字"/>
    <w:basedOn w:val="1"/>
    <w:qFormat/>
    <w:uiPriority w:val="0"/>
    <w:pPr>
      <w:adjustRightInd w:val="0"/>
      <w:spacing w:before="60" w:after="60" w:line="420" w:lineRule="atLeast"/>
      <w:jc w:val="left"/>
      <w:textAlignment w:val="baseline"/>
    </w:pPr>
    <w:rPr>
      <w:rFonts w:ascii="Times New Roman" w:hAnsi="Times New Roman" w:cs="Times New Roman"/>
      <w:kern w:val="0"/>
      <w:szCs w:val="20"/>
    </w:rPr>
  </w:style>
  <w:style w:type="paragraph" w:customStyle="1" w:styleId="263">
    <w:name w:val="列表2"/>
    <w:basedOn w:val="1"/>
    <w:qFormat/>
    <w:uiPriority w:val="0"/>
    <w:pPr>
      <w:spacing w:line="360" w:lineRule="auto"/>
      <w:ind w:left="1418"/>
    </w:pPr>
    <w:rPr>
      <w:rFonts w:ascii="Times New Roman" w:hAnsi="Times New Roman" w:cs="Times New Roman"/>
      <w:sz w:val="24"/>
      <w:szCs w:val="24"/>
    </w:rPr>
  </w:style>
  <w:style w:type="character" w:customStyle="1" w:styleId="264">
    <w:name w:val="日期 Char1"/>
    <w:basedOn w:val="61"/>
    <w:semiHidden/>
    <w:qFormat/>
    <w:uiPriority w:val="99"/>
    <w:rPr>
      <w:rFonts w:ascii="Calibri" w:hAnsi="Calibri" w:eastAsia="宋体" w:cs="黑体"/>
    </w:rPr>
  </w:style>
  <w:style w:type="paragraph" w:customStyle="1" w:styleId="265">
    <w:name w:val="样式 标题 2 + (中文) 宋体 五号 非加粗 Char"/>
    <w:basedOn w:val="3"/>
    <w:qFormat/>
    <w:uiPriority w:val="0"/>
    <w:pPr>
      <w:spacing w:before="0" w:after="0" w:line="400" w:lineRule="exact"/>
    </w:pPr>
    <w:rPr>
      <w:rFonts w:ascii="Times New Roman" w:hAnsi="Times New Roman"/>
      <w:i/>
      <w:iCs/>
      <w:sz w:val="28"/>
      <w:szCs w:val="24"/>
    </w:rPr>
  </w:style>
  <w:style w:type="paragraph" w:customStyle="1" w:styleId="266">
    <w:name w:val="表格文字居中"/>
    <w:basedOn w:val="1"/>
    <w:next w:val="1"/>
    <w:qFormat/>
    <w:uiPriority w:val="0"/>
    <w:pPr>
      <w:tabs>
        <w:tab w:val="left" w:pos="720"/>
        <w:tab w:val="left" w:pos="900"/>
      </w:tabs>
      <w:adjustRightInd w:val="0"/>
      <w:snapToGrid w:val="0"/>
      <w:spacing w:beforeLines="20" w:afterLines="20" w:line="360" w:lineRule="auto"/>
      <w:jc w:val="center"/>
    </w:pPr>
    <w:rPr>
      <w:rFonts w:ascii="宋体" w:hAnsi="Arial" w:cs="Times New Roman"/>
      <w:kern w:val="0"/>
      <w:sz w:val="18"/>
      <w:szCs w:val="20"/>
    </w:rPr>
  </w:style>
  <w:style w:type="paragraph" w:customStyle="1" w:styleId="267">
    <w:name w:val="九号线项目符号"/>
    <w:basedOn w:val="1"/>
    <w:qFormat/>
    <w:uiPriority w:val="0"/>
    <w:pPr>
      <w:tabs>
        <w:tab w:val="left" w:pos="620"/>
        <w:tab w:val="left" w:pos="1140"/>
      </w:tabs>
      <w:spacing w:line="360" w:lineRule="auto"/>
      <w:ind w:left="1140" w:hanging="420"/>
    </w:pPr>
    <w:rPr>
      <w:rFonts w:ascii="Times New Roman" w:hAnsi="Times New Roman" w:eastAsia="微软雅黑" w:cs="Times New Roman"/>
      <w:sz w:val="24"/>
      <w:szCs w:val="20"/>
    </w:rPr>
  </w:style>
  <w:style w:type="paragraph" w:customStyle="1" w:styleId="268">
    <w:name w:val="正文表"/>
    <w:basedOn w:val="1"/>
    <w:qFormat/>
    <w:uiPriority w:val="0"/>
    <w:pPr>
      <w:spacing w:line="360" w:lineRule="auto"/>
      <w:ind w:left="11" w:right="-58"/>
    </w:pPr>
    <w:rPr>
      <w:rFonts w:ascii="楷体_GB2312" w:hAnsi="Times New Roman" w:eastAsia="楷体_GB2312" w:cs="Times New Roman"/>
      <w:b/>
      <w:sz w:val="24"/>
      <w:szCs w:val="20"/>
    </w:rPr>
  </w:style>
  <w:style w:type="paragraph" w:customStyle="1" w:styleId="269">
    <w:name w:val="aa"/>
    <w:basedOn w:val="1"/>
    <w:qFormat/>
    <w:uiPriority w:val="0"/>
    <w:pPr>
      <w:spacing w:line="360" w:lineRule="auto"/>
    </w:pPr>
    <w:rPr>
      <w:rFonts w:ascii="Times New Roman" w:hAnsi="Times New Roman" w:cs="Times New Roman"/>
      <w:sz w:val="24"/>
      <w:szCs w:val="24"/>
    </w:rPr>
  </w:style>
  <w:style w:type="character" w:customStyle="1" w:styleId="270">
    <w:name w:val="页脚 Char"/>
    <w:basedOn w:val="61"/>
    <w:qFormat/>
    <w:uiPriority w:val="99"/>
    <w:rPr>
      <w:rFonts w:ascii="Calibri" w:hAnsi="Calibri" w:eastAsia="宋体" w:cs="黑体"/>
      <w:sz w:val="18"/>
      <w:szCs w:val="18"/>
    </w:rPr>
  </w:style>
  <w:style w:type="paragraph" w:customStyle="1" w:styleId="271">
    <w:name w:val="样式 标题 2 + (中文) 宋体 五号 非加粗 行距: 1.5 倍行距"/>
    <w:basedOn w:val="3"/>
    <w:qFormat/>
    <w:uiPriority w:val="0"/>
    <w:pPr>
      <w:spacing w:before="0" w:after="0" w:line="360" w:lineRule="auto"/>
    </w:pPr>
    <w:rPr>
      <w:rFonts w:ascii="Times New Roman" w:hAnsi="Times New Roman" w:cs="宋体"/>
      <w:i/>
      <w:iCs/>
      <w:sz w:val="28"/>
      <w:szCs w:val="24"/>
    </w:rPr>
  </w:style>
  <w:style w:type="paragraph" w:customStyle="1" w:styleId="272">
    <w:name w:val="表格5"/>
    <w:basedOn w:val="210"/>
    <w:qFormat/>
    <w:uiPriority w:val="0"/>
    <w:pPr>
      <w:ind w:left="1021" w:hanging="284"/>
    </w:pPr>
    <w:rPr>
      <w:rFonts w:ascii="宋体"/>
    </w:rPr>
  </w:style>
  <w:style w:type="paragraph" w:customStyle="1" w:styleId="273">
    <w:name w:val="_Style 207"/>
    <w:qFormat/>
    <w:uiPriority w:val="0"/>
    <w:pPr>
      <w:widowControl w:val="0"/>
      <w:jc w:val="both"/>
    </w:pPr>
    <w:rPr>
      <w:rFonts w:ascii="Calibri" w:hAnsi="Calibri" w:eastAsia="宋体" w:cs="黑体"/>
      <w:kern w:val="2"/>
      <w:sz w:val="21"/>
      <w:szCs w:val="22"/>
      <w:lang w:val="en-US" w:eastAsia="zh-CN" w:bidi="ar-SA"/>
    </w:rPr>
  </w:style>
  <w:style w:type="paragraph" w:customStyle="1" w:styleId="274">
    <w:name w:val="2"/>
    <w:basedOn w:val="1"/>
    <w:qFormat/>
    <w:uiPriority w:val="0"/>
    <w:pPr>
      <w:adjustRightInd w:val="0"/>
      <w:spacing w:line="420" w:lineRule="atLeast"/>
      <w:ind w:left="1134" w:hanging="227"/>
      <w:textAlignment w:val="baseline"/>
    </w:pPr>
    <w:rPr>
      <w:rFonts w:ascii="Times New Roman" w:hAnsi="Times New Roman" w:cs="Times New Roman"/>
      <w:kern w:val="0"/>
      <w:szCs w:val="20"/>
    </w:rPr>
  </w:style>
  <w:style w:type="paragraph" w:customStyle="1" w:styleId="275">
    <w:name w:val="正文2"/>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76">
    <w:name w:val="Char2"/>
    <w:basedOn w:val="1"/>
    <w:qFormat/>
    <w:uiPriority w:val="0"/>
    <w:rPr>
      <w:rFonts w:ascii="Times New Roman" w:hAnsi="Times New Roman" w:cs="Times New Roman"/>
      <w:szCs w:val="20"/>
    </w:rPr>
  </w:style>
  <w:style w:type="character" w:customStyle="1" w:styleId="277">
    <w:name w:val="副标题 Char1"/>
    <w:basedOn w:val="61"/>
    <w:qFormat/>
    <w:uiPriority w:val="11"/>
    <w:rPr>
      <w:rFonts w:eastAsia="宋体" w:asciiTheme="majorHAnsi" w:hAnsiTheme="majorHAnsi" w:cstheme="majorBidi"/>
      <w:b/>
      <w:bCs/>
      <w:kern w:val="28"/>
      <w:sz w:val="32"/>
      <w:szCs w:val="32"/>
    </w:rPr>
  </w:style>
  <w:style w:type="paragraph" w:customStyle="1" w:styleId="278">
    <w:name w:val=".."/>
    <w:basedOn w:val="229"/>
    <w:next w:val="229"/>
    <w:qFormat/>
    <w:uiPriority w:val="0"/>
    <w:rPr>
      <w:rFonts w:ascii="宋体" w:eastAsia="宋体" w:cs="Times New Roman"/>
      <w:color w:val="auto"/>
    </w:rPr>
  </w:style>
  <w:style w:type="paragraph" w:customStyle="1" w:styleId="279">
    <w:name w:val="Char Char Char"/>
    <w:basedOn w:val="1"/>
    <w:qFormat/>
    <w:uiPriority w:val="0"/>
    <w:rPr>
      <w:rFonts w:ascii="Tahoma" w:hAnsi="Tahoma" w:cs="Times New Roman"/>
      <w:sz w:val="24"/>
      <w:szCs w:val="20"/>
    </w:rPr>
  </w:style>
  <w:style w:type="character" w:customStyle="1" w:styleId="280">
    <w:name w:val="批注框文本 Char1"/>
    <w:basedOn w:val="61"/>
    <w:semiHidden/>
    <w:qFormat/>
    <w:uiPriority w:val="99"/>
    <w:rPr>
      <w:rFonts w:ascii="Calibri" w:hAnsi="Calibri" w:eastAsia="宋体" w:cs="黑体"/>
      <w:sz w:val="18"/>
      <w:szCs w:val="18"/>
    </w:rPr>
  </w:style>
  <w:style w:type="paragraph" w:customStyle="1" w:styleId="281">
    <w:name w:val="font0"/>
    <w:basedOn w:val="1"/>
    <w:qFormat/>
    <w:uiPriority w:val="0"/>
    <w:pPr>
      <w:widowControl/>
      <w:spacing w:before="100" w:beforeAutospacing="1" w:after="100" w:afterAutospacing="1"/>
      <w:jc w:val="left"/>
    </w:pPr>
    <w:rPr>
      <w:rFonts w:hint="eastAsia" w:ascii="宋体" w:hAnsi="宋体" w:cs="Times New Roman"/>
      <w:kern w:val="0"/>
      <w:sz w:val="24"/>
      <w:szCs w:val="24"/>
    </w:rPr>
  </w:style>
  <w:style w:type="paragraph" w:customStyle="1" w:styleId="282">
    <w:name w:val="xl30"/>
    <w:basedOn w:val="1"/>
    <w:qFormat/>
    <w:uiPriority w:val="0"/>
    <w:pPr>
      <w:widowControl/>
      <w:spacing w:before="100" w:beforeAutospacing="1" w:after="100" w:afterAutospacing="1"/>
      <w:jc w:val="center"/>
    </w:pPr>
    <w:rPr>
      <w:rFonts w:ascii="宋体" w:hAnsi="宋体" w:cs="Times New Roman"/>
      <w:b/>
      <w:bCs/>
      <w:kern w:val="0"/>
      <w:sz w:val="36"/>
      <w:szCs w:val="36"/>
    </w:rPr>
  </w:style>
  <w:style w:type="paragraph" w:customStyle="1" w:styleId="283">
    <w:name w:val="MH-Spec 4S"/>
    <w:basedOn w:val="1"/>
    <w:qFormat/>
    <w:uiPriority w:val="0"/>
    <w:pPr>
      <w:spacing w:beforeLines="100"/>
      <w:ind w:left="851" w:hanging="851"/>
      <w:jc w:val="left"/>
    </w:pPr>
    <w:rPr>
      <w:rFonts w:cs="Times New Roman"/>
      <w:b/>
      <w:bCs/>
      <w:kern w:val="0"/>
      <w:sz w:val="22"/>
      <w:szCs w:val="20"/>
    </w:rPr>
  </w:style>
  <w:style w:type="paragraph" w:customStyle="1" w:styleId="284">
    <w:name w:val="格式３"/>
    <w:basedOn w:val="1"/>
    <w:qFormat/>
    <w:uiPriority w:val="0"/>
    <w:pPr>
      <w:spacing w:line="420" w:lineRule="exact"/>
      <w:ind w:left="600" w:hanging="600" w:hangingChars="250"/>
    </w:pPr>
    <w:rPr>
      <w:rFonts w:ascii="宋体" w:hAnsi="宋体" w:cs="Times New Roman"/>
      <w:color w:val="000000"/>
      <w:sz w:val="24"/>
      <w:szCs w:val="20"/>
    </w:rPr>
  </w:style>
  <w:style w:type="paragraph" w:customStyle="1" w:styleId="285">
    <w:name w:val="标题4"/>
    <w:basedOn w:val="5"/>
    <w:qFormat/>
    <w:uiPriority w:val="0"/>
    <w:pPr>
      <w:tabs>
        <w:tab w:val="left" w:pos="315"/>
        <w:tab w:val="left" w:pos="3388"/>
        <w:tab w:val="clear" w:pos="3229"/>
      </w:tabs>
      <w:adjustRightInd w:val="0"/>
      <w:snapToGrid w:val="0"/>
      <w:spacing w:beforeLines="100" w:afterLines="100"/>
      <w:ind w:left="0" w:firstLine="480" w:firstLineChars="200"/>
      <w:jc w:val="both"/>
      <w:textAlignment w:val="baseline"/>
      <w:outlineLvl w:val="3"/>
    </w:pPr>
    <w:rPr>
      <w:rFonts w:eastAsia="黑体"/>
      <w:b w:val="0"/>
      <w:kern w:val="0"/>
      <w:sz w:val="24"/>
      <w:szCs w:val="20"/>
    </w:rPr>
  </w:style>
  <w:style w:type="paragraph" w:customStyle="1" w:styleId="286">
    <w:name w:val="表中"/>
    <w:basedOn w:val="1"/>
    <w:qFormat/>
    <w:uiPriority w:val="0"/>
    <w:pPr>
      <w:adjustRightInd w:val="0"/>
      <w:spacing w:line="360" w:lineRule="atLeast"/>
      <w:jc w:val="center"/>
      <w:textAlignment w:val="baseline"/>
    </w:pPr>
    <w:rPr>
      <w:rFonts w:ascii="Times New Roman" w:hAnsi="Times New Roman" w:cs="Times New Roman"/>
      <w:kern w:val="0"/>
      <w:szCs w:val="20"/>
    </w:rPr>
  </w:style>
  <w:style w:type="paragraph" w:customStyle="1" w:styleId="287">
    <w:name w:val="四级条标题"/>
    <w:basedOn w:val="219"/>
    <w:next w:val="150"/>
    <w:qFormat/>
    <w:uiPriority w:val="0"/>
    <w:pPr>
      <w:tabs>
        <w:tab w:val="left" w:pos="1260"/>
      </w:tabs>
      <w:ind w:left="1260"/>
      <w:outlineLvl w:val="5"/>
    </w:pPr>
  </w:style>
  <w:style w:type="paragraph" w:customStyle="1" w:styleId="288">
    <w:name w:val="6'"/>
    <w:basedOn w:val="1"/>
    <w:qFormat/>
    <w:uiPriority w:val="0"/>
    <w:pPr>
      <w:autoSpaceDE w:val="0"/>
      <w:autoSpaceDN w:val="0"/>
      <w:adjustRightInd w:val="0"/>
      <w:snapToGrid w:val="0"/>
      <w:spacing w:line="320" w:lineRule="exact"/>
      <w:jc w:val="center"/>
      <w:textAlignment w:val="baseline"/>
    </w:pPr>
    <w:rPr>
      <w:rFonts w:ascii="Times New Roman" w:hAnsi="Times New Roman" w:cs="Times New Roman"/>
      <w:spacing w:val="20"/>
      <w:kern w:val="28"/>
      <w:szCs w:val="20"/>
    </w:rPr>
  </w:style>
  <w:style w:type="paragraph" w:customStyle="1" w:styleId="289">
    <w:name w:val="列表编号4"/>
    <w:basedOn w:val="1"/>
    <w:qFormat/>
    <w:uiPriority w:val="0"/>
    <w:pPr>
      <w:tabs>
        <w:tab w:val="left" w:pos="360"/>
      </w:tabs>
      <w:spacing w:line="440" w:lineRule="exact"/>
      <w:ind w:left="200"/>
    </w:pPr>
    <w:rPr>
      <w:rFonts w:ascii="Times New Roman" w:hAnsi="Times New Roman" w:cs="Times New Roman"/>
      <w:sz w:val="24"/>
      <w:szCs w:val="24"/>
    </w:rPr>
  </w:style>
  <w:style w:type="paragraph" w:customStyle="1" w:styleId="290">
    <w:name w:val="样式5"/>
    <w:basedOn w:val="49"/>
    <w:qFormat/>
    <w:uiPriority w:val="0"/>
    <w:pPr>
      <w:snapToGrid w:val="0"/>
      <w:spacing w:before="120" w:afterLines="30" w:line="360" w:lineRule="auto"/>
      <w:ind w:left="238" w:leftChars="0" w:firstLine="480" w:firstLineChars="200"/>
      <w:jc w:val="left"/>
    </w:pPr>
    <w:rPr>
      <w:rFonts w:ascii="宋体" w:hAnsi="宋体" w:cs="Times New Roman"/>
      <w:bCs/>
      <w:iCs/>
      <w:smallCaps/>
      <w:sz w:val="24"/>
      <w:szCs w:val="20"/>
    </w:rPr>
  </w:style>
  <w:style w:type="paragraph" w:customStyle="1" w:styleId="29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92">
    <w:name w:val="～"/>
    <w:basedOn w:val="1"/>
    <w:qFormat/>
    <w:uiPriority w:val="0"/>
    <w:pPr>
      <w:adjustRightInd w:val="0"/>
      <w:spacing w:line="360" w:lineRule="auto"/>
      <w:textAlignment w:val="baseline"/>
    </w:pPr>
    <w:rPr>
      <w:rFonts w:ascii="楷体" w:hAnsi="Times New Roman" w:eastAsia="楷体" w:cs="Times New Roman"/>
      <w:kern w:val="0"/>
      <w:sz w:val="28"/>
      <w:szCs w:val="20"/>
    </w:rPr>
  </w:style>
  <w:style w:type="paragraph" w:customStyle="1" w:styleId="293">
    <w:name w:val="正文文本 31"/>
    <w:basedOn w:val="25"/>
    <w:qFormat/>
    <w:uiPriority w:val="0"/>
    <w:pPr>
      <w:autoSpaceDE w:val="0"/>
      <w:autoSpaceDN w:val="0"/>
      <w:adjustRightInd w:val="0"/>
      <w:ind w:left="360" w:leftChars="0"/>
      <w:jc w:val="left"/>
      <w:textAlignment w:val="baseline"/>
    </w:pPr>
    <w:rPr>
      <w:kern w:val="0"/>
      <w:sz w:val="20"/>
      <w:szCs w:val="20"/>
    </w:rPr>
  </w:style>
  <w:style w:type="paragraph" w:customStyle="1" w:styleId="294">
    <w:name w:val="font7"/>
    <w:basedOn w:val="1"/>
    <w:qFormat/>
    <w:uiPriority w:val="0"/>
    <w:pPr>
      <w:widowControl/>
      <w:spacing w:before="100" w:beforeAutospacing="1" w:after="100" w:afterAutospacing="1"/>
      <w:jc w:val="left"/>
    </w:pPr>
    <w:rPr>
      <w:rFonts w:ascii="Times New Roman" w:hAnsi="Times New Roman" w:cs="Times New Roman"/>
      <w:kern w:val="0"/>
      <w:sz w:val="24"/>
      <w:szCs w:val="24"/>
    </w:rPr>
  </w:style>
  <w:style w:type="paragraph" w:customStyle="1" w:styleId="295">
    <w:name w:val="正文 + 小四正文 + 小四正文 + 小四 Char Char"/>
    <w:basedOn w:val="1"/>
    <w:qFormat/>
    <w:uiPriority w:val="0"/>
    <w:pPr>
      <w:ind w:firstLine="480" w:firstLineChars="200"/>
    </w:pPr>
    <w:rPr>
      <w:rFonts w:ascii="仿宋_GB2312" w:hAnsi="宋体" w:cs="Times New Roman"/>
      <w:bCs/>
      <w:sz w:val="24"/>
      <w:szCs w:val="24"/>
    </w:rPr>
  </w:style>
  <w:style w:type="paragraph" w:customStyle="1" w:styleId="296">
    <w:name w:val="...."/>
    <w:basedOn w:val="229"/>
    <w:next w:val="229"/>
    <w:qFormat/>
    <w:uiPriority w:val="0"/>
    <w:rPr>
      <w:rFonts w:ascii="宋体" w:eastAsia="宋体" w:cs="Times New Roman"/>
      <w:color w:val="auto"/>
    </w:rPr>
  </w:style>
  <w:style w:type="paragraph" w:customStyle="1" w:styleId="297">
    <w:name w:val="af15hichaf0dbchf15cgrid"/>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298">
    <w:name w:val="Char Char Char Char"/>
    <w:basedOn w:val="1"/>
    <w:qFormat/>
    <w:uiPriority w:val="0"/>
    <w:pPr>
      <w:widowControl/>
      <w:spacing w:after="160" w:line="240" w:lineRule="exact"/>
      <w:jc w:val="left"/>
    </w:pPr>
    <w:rPr>
      <w:rFonts w:ascii="Times New Roman" w:hAnsi="Times New Roman" w:cs="Times New Roman"/>
      <w:szCs w:val="20"/>
    </w:rPr>
  </w:style>
  <w:style w:type="paragraph" w:customStyle="1" w:styleId="299">
    <w:name w:val="Header1"/>
    <w:basedOn w:val="1"/>
    <w:qFormat/>
    <w:uiPriority w:val="0"/>
    <w:pPr>
      <w:jc w:val="center"/>
    </w:pPr>
    <w:rPr>
      <w:rFonts w:ascii="Times New Roman Bold" w:hAnsi="Times New Roman Bold" w:cs="Times New Roman"/>
      <w:b/>
      <w:smallCaps/>
      <w:kern w:val="0"/>
      <w:sz w:val="36"/>
      <w:szCs w:val="20"/>
    </w:rPr>
  </w:style>
  <w:style w:type="paragraph" w:customStyle="1" w:styleId="300">
    <w:name w:val="样式 标题 2 + 首行缩进:  2 字符 段前: 1 行 段后: 0.5 行"/>
    <w:basedOn w:val="3"/>
    <w:qFormat/>
    <w:uiPriority w:val="0"/>
    <w:pPr>
      <w:snapToGrid w:val="0"/>
      <w:spacing w:beforeLines="100" w:afterLines="50" w:line="336" w:lineRule="auto"/>
    </w:pPr>
    <w:rPr>
      <w:rFonts w:cs="宋体"/>
      <w:b w:val="0"/>
      <w:i/>
      <w:iCs/>
      <w:sz w:val="28"/>
      <w:szCs w:val="24"/>
    </w:rPr>
  </w:style>
  <w:style w:type="paragraph" w:customStyle="1" w:styleId="301">
    <w:name w:val="Char Char Char Char Char Char Char"/>
    <w:basedOn w:val="1"/>
    <w:qFormat/>
    <w:uiPriority w:val="0"/>
    <w:pPr>
      <w:spacing w:line="480" w:lineRule="exact"/>
    </w:pPr>
    <w:rPr>
      <w:rFonts w:ascii="Times New Roman" w:hAnsi="Times New Roman" w:cs="Times New Roman"/>
      <w:szCs w:val="24"/>
    </w:rPr>
  </w:style>
  <w:style w:type="paragraph" w:customStyle="1" w:styleId="302">
    <w:name w:val="xl74"/>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303">
    <w:name w:val="xl33"/>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304">
    <w:name w:val="表格文字"/>
    <w:basedOn w:val="1"/>
    <w:qFormat/>
    <w:uiPriority w:val="0"/>
    <w:pPr>
      <w:adjustRightInd w:val="0"/>
      <w:spacing w:line="420" w:lineRule="atLeast"/>
      <w:jc w:val="left"/>
      <w:textAlignment w:val="baseline"/>
    </w:pPr>
    <w:rPr>
      <w:rFonts w:ascii="Times New Roman" w:hAnsi="Times New Roman" w:cs="Times New Roman"/>
      <w:kern w:val="0"/>
      <w:szCs w:val="20"/>
    </w:rPr>
  </w:style>
  <w:style w:type="paragraph" w:customStyle="1" w:styleId="305">
    <w:name w:val="样式"/>
    <w:basedOn w:val="1"/>
    <w:next w:val="30"/>
    <w:qFormat/>
    <w:uiPriority w:val="0"/>
    <w:rPr>
      <w:rFonts w:ascii="宋体" w:hAnsi="Courier New" w:cs="宋体"/>
      <w:szCs w:val="21"/>
    </w:rPr>
  </w:style>
  <w:style w:type="paragraph" w:customStyle="1" w:styleId="306">
    <w:name w:val="小四表内文字"/>
    <w:basedOn w:val="6"/>
    <w:qFormat/>
    <w:uiPriority w:val="0"/>
    <w:pPr>
      <w:tabs>
        <w:tab w:val="left" w:pos="874"/>
        <w:tab w:val="left" w:pos="1260"/>
      </w:tabs>
      <w:ind w:left="1" w:firstLine="0"/>
      <w:jc w:val="left"/>
    </w:pPr>
    <w:rPr>
      <w:rFonts w:ascii="宋体"/>
      <w:b/>
      <w:bCs/>
      <w:smallCaps/>
      <w:color w:val="000000"/>
      <w:kern w:val="0"/>
      <w:szCs w:val="21"/>
    </w:rPr>
  </w:style>
  <w:style w:type="paragraph" w:customStyle="1" w:styleId="307">
    <w:name w:val="修订2"/>
    <w:qFormat/>
    <w:uiPriority w:val="0"/>
    <w:rPr>
      <w:rFonts w:ascii="Times New Roman" w:hAnsi="Times New Roman" w:eastAsia="宋体" w:cs="Times New Roman"/>
      <w:kern w:val="2"/>
      <w:sz w:val="21"/>
      <w:szCs w:val="24"/>
      <w:lang w:val="en-US" w:eastAsia="zh-CN" w:bidi="ar-SA"/>
    </w:rPr>
  </w:style>
  <w:style w:type="paragraph" w:customStyle="1" w:styleId="308">
    <w:name w:val="文档正文"/>
    <w:basedOn w:val="1"/>
    <w:qFormat/>
    <w:uiPriority w:val="0"/>
    <w:pPr>
      <w:adjustRightInd w:val="0"/>
      <w:spacing w:line="480" w:lineRule="atLeast"/>
      <w:ind w:left="1" w:firstLine="567" w:firstLineChars="200"/>
      <w:jc w:val="left"/>
      <w:textAlignment w:val="baseline"/>
    </w:pPr>
    <w:rPr>
      <w:rFonts w:ascii="仿宋_GB2312" w:hAnsi="Times New Roman" w:eastAsia="仿宋_GB2312" w:cs="Times New Roman"/>
      <w:b/>
      <w:bCs/>
      <w:smallCaps/>
      <w:kern w:val="0"/>
      <w:sz w:val="28"/>
      <w:szCs w:val="21"/>
    </w:rPr>
  </w:style>
  <w:style w:type="paragraph" w:customStyle="1" w:styleId="309">
    <w:name w:val="正文11"/>
    <w:basedOn w:val="1"/>
    <w:qFormat/>
    <w:uiPriority w:val="0"/>
    <w:pPr>
      <w:autoSpaceDE w:val="0"/>
      <w:autoSpaceDN w:val="0"/>
      <w:adjustRightInd w:val="0"/>
      <w:spacing w:before="120" w:line="360" w:lineRule="auto"/>
      <w:ind w:left="1366" w:hanging="686"/>
    </w:pPr>
    <w:rPr>
      <w:rFonts w:ascii="Times New Roman" w:hAnsi="Times New Roman" w:cs="Times New Roman"/>
      <w:szCs w:val="20"/>
    </w:rPr>
  </w:style>
  <w:style w:type="paragraph" w:customStyle="1" w:styleId="310">
    <w:name w:val="样式1"/>
    <w:basedOn w:val="7"/>
    <w:qFormat/>
    <w:uiPriority w:val="0"/>
    <w:pPr>
      <w:keepLines/>
      <w:tabs>
        <w:tab w:val="left" w:pos="2356"/>
      </w:tabs>
      <w:adjustRightInd/>
      <w:spacing w:before="120" w:after="120"/>
      <w:ind w:left="1984" w:hanging="708"/>
      <w:jc w:val="both"/>
      <w:textAlignment w:val="auto"/>
    </w:pPr>
    <w:rPr>
      <w:rFonts w:hAnsi="Arial" w:eastAsia="黑体"/>
      <w:i/>
      <w:kern w:val="2"/>
      <w:sz w:val="30"/>
    </w:rPr>
  </w:style>
  <w:style w:type="paragraph" w:customStyle="1" w:styleId="311">
    <w:name w:val="Char6"/>
    <w:basedOn w:val="1"/>
    <w:qFormat/>
    <w:uiPriority w:val="0"/>
    <w:pPr>
      <w:widowControl/>
      <w:spacing w:after="160" w:line="240" w:lineRule="exact"/>
      <w:jc w:val="left"/>
    </w:pPr>
    <w:rPr>
      <w:rFonts w:ascii="Times New Roman" w:hAnsi="Times New Roman" w:cs="Times New Roman"/>
      <w:szCs w:val="24"/>
    </w:rPr>
  </w:style>
  <w:style w:type="paragraph" w:customStyle="1" w:styleId="312">
    <w:name w:val="Char1 Char Char Char"/>
    <w:basedOn w:val="1"/>
    <w:qFormat/>
    <w:uiPriority w:val="0"/>
    <w:pPr>
      <w:widowControl/>
      <w:spacing w:after="160" w:line="240" w:lineRule="exact"/>
    </w:pPr>
    <w:rPr>
      <w:rFonts w:ascii="Arial" w:hAnsi="Arial" w:cs="Times New Roman"/>
      <w:kern w:val="0"/>
      <w:sz w:val="22"/>
      <w:szCs w:val="20"/>
      <w:lang w:eastAsia="en-US"/>
    </w:rPr>
  </w:style>
  <w:style w:type="paragraph" w:customStyle="1" w:styleId="313">
    <w:name w:val="小标题"/>
    <w:basedOn w:val="1"/>
    <w:next w:val="1"/>
    <w:qFormat/>
    <w:uiPriority w:val="0"/>
    <w:pPr>
      <w:keepNext/>
      <w:spacing w:before="240" w:after="120" w:line="360" w:lineRule="auto"/>
      <w:ind w:firstLine="200" w:firstLineChars="200"/>
    </w:pPr>
    <w:rPr>
      <w:rFonts w:ascii="Times New Roman" w:hAnsi="Times New Roman" w:eastAsia="黑体" w:cs="Times New Roman"/>
      <w:b/>
      <w:sz w:val="24"/>
      <w:szCs w:val="24"/>
    </w:rPr>
  </w:style>
  <w:style w:type="paragraph" w:customStyle="1" w:styleId="314">
    <w:name w:val="内正文"/>
    <w:basedOn w:val="1"/>
    <w:qFormat/>
    <w:uiPriority w:val="0"/>
    <w:pPr>
      <w:ind w:firstLine="420"/>
    </w:pPr>
    <w:rPr>
      <w:rFonts w:ascii="Times New Roman" w:hAnsi="Times New Roman" w:eastAsia="文鼎CS书宋二" w:cs="Times New Roman"/>
      <w:szCs w:val="20"/>
    </w:rPr>
  </w:style>
  <w:style w:type="paragraph" w:customStyle="1" w:styleId="315">
    <w:name w:val="一、"/>
    <w:next w:val="57"/>
    <w:qFormat/>
    <w:uiPriority w:val="0"/>
    <w:pPr>
      <w:tabs>
        <w:tab w:val="left" w:pos="360"/>
        <w:tab w:val="left" w:pos="425"/>
      </w:tabs>
      <w:spacing w:before="240" w:after="240"/>
    </w:pPr>
    <w:rPr>
      <w:rFonts w:ascii="Times New Roman" w:hAnsi="Times New Roman" w:eastAsia="黑体" w:cs="Times New Roman"/>
      <w:sz w:val="28"/>
      <w:lang w:val="en-US" w:eastAsia="zh-CN" w:bidi="ar-SA"/>
    </w:rPr>
  </w:style>
  <w:style w:type="paragraph" w:customStyle="1" w:styleId="316">
    <w:name w:val="TOC 标题1"/>
    <w:basedOn w:val="2"/>
    <w:next w:val="1"/>
    <w:unhideWhenUsed/>
    <w:qFormat/>
    <w:uiPriority w:val="39"/>
    <w:pPr>
      <w:widowControl/>
      <w:spacing w:before="480" w:after="0" w:line="276" w:lineRule="auto"/>
      <w:jc w:val="left"/>
      <w:outlineLvl w:val="9"/>
    </w:pPr>
    <w:rPr>
      <w:rFonts w:ascii="Cambria" w:hAnsi="Cambria"/>
      <w:bCs/>
      <w:color w:val="365F91"/>
      <w:kern w:val="0"/>
      <w:sz w:val="28"/>
      <w:szCs w:val="28"/>
    </w:rPr>
  </w:style>
  <w:style w:type="paragraph" w:customStyle="1" w:styleId="317">
    <w:name w:val="列出段落11"/>
    <w:basedOn w:val="1"/>
    <w:qFormat/>
    <w:uiPriority w:val="34"/>
    <w:pPr>
      <w:ind w:firstLine="420" w:firstLineChars="200"/>
    </w:pPr>
    <w:rPr>
      <w:rFonts w:ascii="Times New Roman" w:hAnsi="Times New Roman" w:cs="Times New Roman"/>
      <w:szCs w:val="24"/>
    </w:rPr>
  </w:style>
  <w:style w:type="paragraph" w:customStyle="1" w:styleId="318">
    <w:name w:val="Default Paragraph Char Char Char Char"/>
    <w:basedOn w:val="1"/>
    <w:next w:val="1"/>
    <w:qFormat/>
    <w:uiPriority w:val="0"/>
    <w:pPr>
      <w:widowControl/>
      <w:spacing w:line="360" w:lineRule="auto"/>
      <w:jc w:val="left"/>
    </w:pPr>
    <w:rPr>
      <w:rFonts w:ascii="Times New Roman" w:hAnsi="Times New Roman" w:cs="Times New Roman"/>
      <w:kern w:val="0"/>
      <w:szCs w:val="20"/>
      <w:lang w:eastAsia="en-US"/>
    </w:rPr>
  </w:style>
  <w:style w:type="paragraph" w:customStyle="1" w:styleId="319">
    <w:name w:val="Char61"/>
    <w:basedOn w:val="1"/>
    <w:qFormat/>
    <w:uiPriority w:val="0"/>
    <w:pPr>
      <w:widowControl/>
      <w:spacing w:after="160" w:line="240" w:lineRule="exact"/>
      <w:jc w:val="left"/>
    </w:pPr>
    <w:rPr>
      <w:rFonts w:ascii="Times New Roman" w:hAnsi="Times New Roman" w:cs="Times New Roman"/>
      <w:szCs w:val="24"/>
    </w:rPr>
  </w:style>
  <w:style w:type="paragraph" w:customStyle="1" w:styleId="320">
    <w:name w:val="text"/>
    <w:basedOn w:val="1"/>
    <w:qFormat/>
    <w:uiPriority w:val="0"/>
    <w:pPr>
      <w:widowControl/>
      <w:spacing w:before="100" w:beforeAutospacing="1" w:after="100" w:afterAutospacing="1" w:line="360" w:lineRule="atLeast"/>
      <w:ind w:firstLine="400"/>
      <w:jc w:val="left"/>
    </w:pPr>
    <w:rPr>
      <w:rFonts w:ascii="宋体" w:hAnsi="宋体" w:cs="Times New Roman"/>
      <w:color w:val="000000"/>
      <w:kern w:val="0"/>
      <w:sz w:val="20"/>
      <w:szCs w:val="20"/>
    </w:rPr>
  </w:style>
  <w:style w:type="paragraph" w:customStyle="1" w:styleId="321">
    <w:name w:val="Char Char Char Char Char Char Char Char Char Char Char Char Char Char Char Char Char Char1 Char Char Char Char"/>
    <w:basedOn w:val="1"/>
    <w:qFormat/>
    <w:uiPriority w:val="0"/>
    <w:rPr>
      <w:rFonts w:ascii="Times New Roman" w:hAnsi="Times New Roman" w:cs="Times New Roman"/>
      <w:szCs w:val="24"/>
    </w:rPr>
  </w:style>
  <w:style w:type="paragraph" w:customStyle="1" w:styleId="322">
    <w:name w:val="表身（左）"/>
    <w:qFormat/>
    <w:uiPriority w:val="0"/>
    <w:pPr>
      <w:adjustRightInd w:val="0"/>
      <w:snapToGrid w:val="0"/>
      <w:spacing w:line="300" w:lineRule="auto"/>
    </w:pPr>
    <w:rPr>
      <w:rFonts w:ascii="Times New Roman" w:hAnsi="Times New Roman" w:eastAsia="宋体" w:cs="Times New Roman"/>
      <w:sz w:val="16"/>
      <w:lang w:val="en-US" w:eastAsia="zh-CN" w:bidi="ar-SA"/>
    </w:rPr>
  </w:style>
  <w:style w:type="paragraph" w:customStyle="1" w:styleId="323">
    <w:name w:val="..."/>
    <w:basedOn w:val="229"/>
    <w:next w:val="229"/>
    <w:qFormat/>
    <w:uiPriority w:val="0"/>
    <w:rPr>
      <w:rFonts w:ascii="宋体" w:eastAsia="宋体" w:cs="Times New Roman"/>
      <w:color w:val="auto"/>
    </w:rPr>
  </w:style>
  <w:style w:type="paragraph" w:customStyle="1" w:styleId="324">
    <w:name w:val="样式 标题 3H3h33rd level + (西文) Times New Roman (中文) 宋体 五号 非加粗..."/>
    <w:basedOn w:val="5"/>
    <w:qFormat/>
    <w:uiPriority w:val="0"/>
    <w:pPr>
      <w:widowControl w:val="0"/>
      <w:tabs>
        <w:tab w:val="clear" w:pos="3229"/>
      </w:tabs>
      <w:spacing w:before="0" w:afterLines="50"/>
      <w:ind w:left="0" w:firstLine="0"/>
      <w:jc w:val="both"/>
    </w:pPr>
    <w:rPr>
      <w:rFonts w:eastAsia="黑体" w:cs="宋体"/>
      <w:b w:val="0"/>
      <w:kern w:val="0"/>
      <w:sz w:val="24"/>
      <w:szCs w:val="21"/>
    </w:rPr>
  </w:style>
  <w:style w:type="paragraph" w:customStyle="1" w:styleId="325">
    <w:name w:val="表格1"/>
    <w:basedOn w:val="1"/>
    <w:qFormat/>
    <w:uiPriority w:val="0"/>
    <w:pPr>
      <w:adjustRightInd w:val="0"/>
      <w:spacing w:line="420" w:lineRule="atLeast"/>
      <w:ind w:left="284"/>
      <w:textAlignment w:val="baseline"/>
    </w:pPr>
    <w:rPr>
      <w:rFonts w:ascii="Times New Roman" w:hAnsi="Times New Roman" w:cs="Times New Roman"/>
      <w:kern w:val="0"/>
      <w:szCs w:val="20"/>
    </w:rPr>
  </w:style>
  <w:style w:type="paragraph" w:customStyle="1" w:styleId="326">
    <w:name w:val="font5"/>
    <w:basedOn w:val="1"/>
    <w:qFormat/>
    <w:uiPriority w:val="0"/>
    <w:pPr>
      <w:widowControl/>
      <w:spacing w:before="100" w:beforeAutospacing="1" w:after="100" w:afterAutospacing="1"/>
      <w:jc w:val="left"/>
    </w:pPr>
    <w:rPr>
      <w:rFonts w:hint="eastAsia" w:ascii="宋体" w:hAnsi="宋体" w:cs="Times New Roman"/>
      <w:kern w:val="0"/>
      <w:sz w:val="24"/>
      <w:szCs w:val="24"/>
    </w:rPr>
  </w:style>
  <w:style w:type="paragraph" w:customStyle="1" w:styleId="327">
    <w:name w:val="xl2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Times New Roman"/>
      <w:kern w:val="0"/>
      <w:szCs w:val="21"/>
    </w:rPr>
  </w:style>
  <w:style w:type="paragraph" w:customStyle="1" w:styleId="328">
    <w:name w:val="Char3"/>
    <w:basedOn w:val="1"/>
    <w:qFormat/>
    <w:uiPriority w:val="0"/>
    <w:pPr>
      <w:tabs>
        <w:tab w:val="left" w:pos="794"/>
        <w:tab w:val="left" w:pos="1191"/>
        <w:tab w:val="left" w:pos="1588"/>
        <w:tab w:val="left" w:pos="1985"/>
      </w:tabs>
      <w:autoSpaceDE w:val="0"/>
      <w:autoSpaceDN w:val="0"/>
      <w:adjustRightInd w:val="0"/>
      <w:spacing w:before="136"/>
    </w:pPr>
    <w:rPr>
      <w:rFonts w:ascii="Tahoma" w:hAnsi="Tahoma" w:cs="Times New Roman"/>
      <w:kern w:val="0"/>
      <w:sz w:val="24"/>
      <w:szCs w:val="20"/>
    </w:rPr>
  </w:style>
  <w:style w:type="paragraph" w:customStyle="1" w:styleId="329">
    <w:name w:val="font6"/>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330">
    <w:name w:val="Char Char Char Char Char Char"/>
    <w:basedOn w:val="1"/>
    <w:qFormat/>
    <w:uiPriority w:val="0"/>
    <w:rPr>
      <w:rFonts w:ascii="Times New Roman" w:hAnsi="Times New Roman" w:cs="Times New Roman"/>
      <w:szCs w:val="24"/>
    </w:rPr>
  </w:style>
  <w:style w:type="paragraph" w:customStyle="1" w:styleId="331">
    <w:name w:val="表格6"/>
    <w:basedOn w:val="272"/>
    <w:qFormat/>
    <w:uiPriority w:val="0"/>
    <w:pPr>
      <w:ind w:left="737" w:firstLine="0"/>
    </w:pPr>
  </w:style>
  <w:style w:type="paragraph" w:customStyle="1" w:styleId="332">
    <w:name w:val="样式 标题 3 + 段前: 0.3 行 段后: 0.3 行"/>
    <w:basedOn w:val="5"/>
    <w:qFormat/>
    <w:uiPriority w:val="0"/>
    <w:pPr>
      <w:widowControl w:val="0"/>
      <w:snapToGrid w:val="0"/>
      <w:spacing w:beforeLines="30" w:afterLines="50" w:line="240" w:lineRule="auto"/>
      <w:ind w:left="0" w:firstLine="0"/>
      <w:jc w:val="both"/>
    </w:pPr>
    <w:rPr>
      <w:rFonts w:ascii="Arial Narrow" w:hAnsi="Arial Narrow" w:eastAsia="华文细黑" w:cs="宋体"/>
      <w:sz w:val="24"/>
    </w:rPr>
  </w:style>
  <w:style w:type="paragraph" w:customStyle="1" w:styleId="333">
    <w:name w:val="tableheadin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34">
    <w:name w:val="MH-Spec 8S"/>
    <w:basedOn w:val="1"/>
    <w:qFormat/>
    <w:uiPriority w:val="0"/>
    <w:pPr>
      <w:tabs>
        <w:tab w:val="left" w:pos="2268"/>
      </w:tabs>
      <w:ind w:left="2268" w:hanging="567"/>
      <w:jc w:val="left"/>
    </w:pPr>
    <w:rPr>
      <w:rFonts w:cs="Times New Roman"/>
      <w:kern w:val="0"/>
      <w:sz w:val="22"/>
      <w:szCs w:val="20"/>
      <w:lang w:eastAsia="en-US"/>
    </w:rPr>
  </w:style>
  <w:style w:type="paragraph" w:customStyle="1" w:styleId="335">
    <w:name w:val="表格附注"/>
    <w:qFormat/>
    <w:uiPriority w:val="0"/>
    <w:pPr>
      <w:ind w:left="510" w:hanging="510"/>
    </w:pPr>
    <w:rPr>
      <w:rFonts w:ascii="Times New Roman" w:hAnsi="Times New Roman" w:eastAsia="宋体" w:cs="Times New Roman"/>
      <w:sz w:val="18"/>
      <w:lang w:val="en-US" w:eastAsia="zh-CN" w:bidi="ar-SA"/>
    </w:rPr>
  </w:style>
  <w:style w:type="paragraph" w:customStyle="1" w:styleId="336">
    <w:name w:val="Char Char Char Char Char Char Char Char Char Char Char Char Char1"/>
    <w:basedOn w:val="1"/>
    <w:qFormat/>
    <w:uiPriority w:val="0"/>
    <w:rPr>
      <w:rFonts w:ascii="仿宋_GB2312" w:hAnsi="Times New Roman" w:eastAsia="仿宋_GB2312" w:cs="Times New Roman"/>
      <w:b/>
      <w:sz w:val="32"/>
      <w:szCs w:val="32"/>
    </w:rPr>
  </w:style>
  <w:style w:type="paragraph" w:customStyle="1" w:styleId="337">
    <w:name w:val="样式3"/>
    <w:basedOn w:val="29"/>
    <w:qFormat/>
    <w:uiPriority w:val="0"/>
    <w:pPr>
      <w:tabs>
        <w:tab w:val="right" w:leader="dot" w:pos="8111"/>
      </w:tabs>
    </w:pPr>
    <w:rPr>
      <w:rFonts w:eastAsia="楷体_GB2312" w:cs="Times New Roman"/>
    </w:rPr>
  </w:style>
  <w:style w:type="paragraph" w:customStyle="1" w:styleId="338">
    <w:name w:val="正文文字 2"/>
    <w:basedOn w:val="1"/>
    <w:qFormat/>
    <w:uiPriority w:val="0"/>
    <w:pPr>
      <w:spacing w:line="300" w:lineRule="exact"/>
    </w:pPr>
    <w:rPr>
      <w:rFonts w:ascii="宋体" w:hAnsi="宋体" w:cs="宋体"/>
      <w:sz w:val="24"/>
      <w:szCs w:val="24"/>
    </w:rPr>
  </w:style>
  <w:style w:type="paragraph" w:customStyle="1" w:styleId="339">
    <w:name w:val="Char12"/>
    <w:basedOn w:val="1"/>
    <w:qFormat/>
    <w:uiPriority w:val="0"/>
    <w:rPr>
      <w:rFonts w:ascii="Times New Roman" w:hAnsi="Times New Roman" w:cs="Times New Roman"/>
      <w:szCs w:val="24"/>
    </w:rPr>
  </w:style>
  <w:style w:type="paragraph" w:customStyle="1" w:styleId="340">
    <w:name w:val="1 Char"/>
    <w:basedOn w:val="1"/>
    <w:qFormat/>
    <w:uiPriority w:val="0"/>
    <w:pPr>
      <w:widowControl/>
      <w:spacing w:after="160" w:line="240" w:lineRule="exact"/>
      <w:jc w:val="left"/>
    </w:pPr>
    <w:rPr>
      <w:rFonts w:ascii="Verdana" w:hAnsi="Verdana" w:cs="Times New Roman"/>
      <w:kern w:val="0"/>
      <w:sz w:val="20"/>
      <w:szCs w:val="20"/>
      <w:lang w:eastAsia="en-US"/>
    </w:rPr>
  </w:style>
  <w:style w:type="paragraph" w:customStyle="1" w:styleId="341">
    <w:name w:val="Char Char Char Char1"/>
    <w:basedOn w:val="1"/>
    <w:qFormat/>
    <w:uiPriority w:val="0"/>
    <w:pPr>
      <w:widowControl/>
      <w:spacing w:after="160" w:line="240" w:lineRule="exact"/>
      <w:jc w:val="left"/>
    </w:pPr>
    <w:rPr>
      <w:rFonts w:ascii="Times New Roman" w:hAnsi="Times New Roman" w:cs="Times New Roman"/>
      <w:szCs w:val="20"/>
    </w:rPr>
  </w:style>
  <w:style w:type="paragraph" w:customStyle="1" w:styleId="342">
    <w:name w:val="样式 标题 3H3h33rd level + (中文) 宋体 五号 非加粗 行距: 1.5 倍行距"/>
    <w:basedOn w:val="5"/>
    <w:qFormat/>
    <w:uiPriority w:val="0"/>
    <w:pPr>
      <w:widowControl w:val="0"/>
      <w:tabs>
        <w:tab w:val="clear" w:pos="3229"/>
      </w:tabs>
      <w:spacing w:before="0" w:afterLines="50"/>
      <w:ind w:left="0" w:firstLine="0"/>
      <w:jc w:val="both"/>
    </w:pPr>
    <w:rPr>
      <w:rFonts w:ascii="黑体" w:eastAsia="黑体" w:cs="宋体"/>
      <w:b w:val="0"/>
      <w:kern w:val="0"/>
      <w:sz w:val="24"/>
      <w:szCs w:val="21"/>
    </w:rPr>
  </w:style>
  <w:style w:type="paragraph" w:customStyle="1" w:styleId="343">
    <w:name w:val="CM8"/>
    <w:basedOn w:val="1"/>
    <w:next w:val="1"/>
    <w:qFormat/>
    <w:uiPriority w:val="0"/>
    <w:pPr>
      <w:autoSpaceDE w:val="0"/>
      <w:autoSpaceDN w:val="0"/>
      <w:spacing w:line="480" w:lineRule="atLeast"/>
      <w:jc w:val="left"/>
    </w:pPr>
    <w:rPr>
      <w:rFonts w:hint="eastAsia" w:ascii="宋体" w:cs="Times New Roman"/>
      <w:color w:val="000000"/>
      <w:sz w:val="24"/>
    </w:rPr>
  </w:style>
  <w:style w:type="paragraph" w:customStyle="1" w:styleId="344">
    <w:name w:val="列出段落2"/>
    <w:basedOn w:val="1"/>
    <w:unhideWhenUsed/>
    <w:qFormat/>
    <w:uiPriority w:val="34"/>
    <w:pPr>
      <w:ind w:firstLine="420" w:firstLineChars="200"/>
    </w:pPr>
    <w:rPr>
      <w:rFonts w:cs="Times New Roman"/>
    </w:rPr>
  </w:style>
  <w:style w:type="paragraph" w:customStyle="1" w:styleId="345">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46">
    <w:name w:val="前言、引言标题"/>
    <w:next w:val="1"/>
    <w:qFormat/>
    <w:uiPriority w:val="0"/>
    <w:pPr>
      <w:widowControl w:val="0"/>
      <w:shd w:val="clear" w:color="FFFFFF" w:fill="FFFFFF"/>
      <w:adjustRightInd w:val="0"/>
      <w:spacing w:before="640" w:after="560" w:line="360" w:lineRule="atLeast"/>
      <w:jc w:val="center"/>
      <w:textAlignment w:val="baseline"/>
      <w:outlineLvl w:val="0"/>
    </w:pPr>
    <w:rPr>
      <w:rFonts w:ascii="黑体" w:hAnsi="Times New Roman" w:eastAsia="黑体" w:cs="Times New Roman"/>
      <w:sz w:val="32"/>
      <w:lang w:val="en-US" w:eastAsia="zh-CN" w:bidi="ar-SA"/>
    </w:rPr>
  </w:style>
  <w:style w:type="paragraph" w:customStyle="1" w:styleId="34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imes New Roman"/>
      <w:kern w:val="0"/>
      <w:sz w:val="24"/>
      <w:szCs w:val="24"/>
    </w:rPr>
  </w:style>
  <w:style w:type="paragraph" w:customStyle="1" w:styleId="348">
    <w:name w:val="MH-Spec 5S"/>
    <w:basedOn w:val="1"/>
    <w:qFormat/>
    <w:uiPriority w:val="0"/>
    <w:pPr>
      <w:widowControl/>
      <w:spacing w:beforeLines="100"/>
      <w:ind w:left="992" w:hanging="992"/>
      <w:jc w:val="left"/>
    </w:pPr>
    <w:rPr>
      <w:rFonts w:ascii="Times New Roman" w:hAnsi="Times New Roman" w:cs="Times New Roman"/>
      <w:kern w:val="0"/>
      <w:sz w:val="20"/>
      <w:szCs w:val="20"/>
    </w:rPr>
  </w:style>
  <w:style w:type="paragraph" w:customStyle="1" w:styleId="349">
    <w:name w:val="Char1 Char Char Char1 Char Char Char Char Char Char Char Char Char1"/>
    <w:basedOn w:val="1"/>
    <w:qFormat/>
    <w:uiPriority w:val="0"/>
    <w:pPr>
      <w:spacing w:before="120" w:after="120" w:line="360" w:lineRule="auto"/>
      <w:ind w:firstLine="200" w:firstLineChars="200"/>
    </w:pPr>
    <w:rPr>
      <w:rFonts w:cs="Times New Roman"/>
    </w:rPr>
  </w:style>
  <w:style w:type="paragraph" w:customStyle="1" w:styleId="350">
    <w:name w:val="左缩进2字符"/>
    <w:basedOn w:val="1"/>
    <w:qFormat/>
    <w:uiPriority w:val="0"/>
    <w:pPr>
      <w:ind w:left="200" w:leftChars="200"/>
    </w:pPr>
    <w:rPr>
      <w:rFonts w:ascii="Times New Roman" w:hAnsi="Times New Roman" w:cs="Times New Roman"/>
      <w:szCs w:val="24"/>
    </w:rPr>
  </w:style>
  <w:style w:type="paragraph" w:customStyle="1" w:styleId="351">
    <w:name w:val="规范文本"/>
    <w:basedOn w:val="30"/>
    <w:qFormat/>
    <w:uiPriority w:val="0"/>
    <w:pPr>
      <w:adjustRightInd w:val="0"/>
      <w:snapToGrid w:val="0"/>
      <w:spacing w:line="360" w:lineRule="exact"/>
      <w:ind w:firstLine="420"/>
    </w:pPr>
    <w:rPr>
      <w:snapToGrid w:val="0"/>
      <w:kern w:val="0"/>
    </w:rPr>
  </w:style>
  <w:style w:type="paragraph" w:customStyle="1" w:styleId="352">
    <w:name w:val="注："/>
    <w:next w:val="150"/>
    <w:qFormat/>
    <w:uiPriority w:val="0"/>
    <w:pPr>
      <w:widowControl w:val="0"/>
      <w:tabs>
        <w:tab w:val="left" w:pos="2100"/>
      </w:tabs>
      <w:autoSpaceDE w:val="0"/>
      <w:autoSpaceDN w:val="0"/>
      <w:adjustRightInd w:val="0"/>
      <w:spacing w:line="360" w:lineRule="atLeast"/>
      <w:ind w:left="840" w:hanging="420"/>
      <w:jc w:val="both"/>
      <w:textAlignment w:val="baseline"/>
    </w:pPr>
    <w:rPr>
      <w:rFonts w:ascii="宋体" w:hAnsi="Times New Roman" w:eastAsia="宋体" w:cs="Times New Roman"/>
      <w:sz w:val="21"/>
      <w:lang w:val="en-US" w:eastAsia="zh-CN" w:bidi="ar-SA"/>
    </w:rPr>
  </w:style>
  <w:style w:type="paragraph" w:customStyle="1" w:styleId="353">
    <w:name w:val="样式2"/>
    <w:basedOn w:val="5"/>
    <w:qFormat/>
    <w:uiPriority w:val="0"/>
    <w:pPr>
      <w:widowControl w:val="0"/>
      <w:tabs>
        <w:tab w:val="left" w:pos="360"/>
        <w:tab w:val="clear" w:pos="3229"/>
      </w:tabs>
      <w:spacing w:line="240" w:lineRule="auto"/>
      <w:ind w:left="840" w:firstLine="0"/>
      <w:jc w:val="left"/>
    </w:pPr>
    <w:rPr>
      <w:bCs/>
      <w:spacing w:val="8"/>
      <w:sz w:val="24"/>
    </w:rPr>
  </w:style>
  <w:style w:type="paragraph" w:customStyle="1" w:styleId="354">
    <w:name w:val="xl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Times New Roman"/>
      <w:kern w:val="0"/>
      <w:sz w:val="18"/>
      <w:szCs w:val="18"/>
    </w:rPr>
  </w:style>
  <w:style w:type="paragraph" w:customStyle="1" w:styleId="355">
    <w:name w:val="样式 标题 3H3h33rd level + Times New Roman 段前: 15.6 磅 行距: 1.5 倍..."/>
    <w:basedOn w:val="7"/>
    <w:qFormat/>
    <w:uiPriority w:val="0"/>
    <w:pPr>
      <w:adjustRightInd/>
      <w:spacing w:before="312"/>
      <w:ind w:firstLine="0"/>
      <w:textAlignment w:val="auto"/>
    </w:pPr>
    <w:rPr>
      <w:rFonts w:eastAsia="楷体_GB2312"/>
      <w:b w:val="0"/>
      <w:bCs/>
      <w:i/>
      <w:kern w:val="2"/>
    </w:rPr>
  </w:style>
  <w:style w:type="paragraph" w:customStyle="1" w:styleId="356">
    <w:name w:val="Char Char Char Char Char Char Char Char Char Char Char Char Char"/>
    <w:basedOn w:val="1"/>
    <w:qFormat/>
    <w:uiPriority w:val="0"/>
    <w:rPr>
      <w:rFonts w:ascii="仿宋_GB2312" w:hAnsi="Times New Roman" w:eastAsia="仿宋_GB2312" w:cs="Times New Roman"/>
      <w:b/>
      <w:sz w:val="32"/>
      <w:szCs w:val="32"/>
    </w:rPr>
  </w:style>
  <w:style w:type="paragraph" w:customStyle="1" w:styleId="357">
    <w:name w:val="Head 1.2"/>
    <w:basedOn w:val="1"/>
    <w:qFormat/>
    <w:uiPriority w:val="0"/>
    <w:pPr>
      <w:keepNext/>
      <w:keepLines/>
      <w:spacing w:line="440" w:lineRule="exact"/>
      <w:ind w:left="-17"/>
      <w:jc w:val="center"/>
    </w:pPr>
    <w:rPr>
      <w:rFonts w:ascii="黑体" w:hAnsi="Times New Roman" w:eastAsia="黑体" w:cs="Times New Roman"/>
      <w:sz w:val="44"/>
      <w:szCs w:val="30"/>
    </w:rPr>
  </w:style>
  <w:style w:type="paragraph" w:customStyle="1" w:styleId="358">
    <w:name w:val="Char11"/>
    <w:basedOn w:val="1"/>
    <w:qFormat/>
    <w:uiPriority w:val="0"/>
    <w:rPr>
      <w:rFonts w:ascii="Times New Roman" w:hAnsi="Times New Roman" w:cs="Times New Roman"/>
      <w:szCs w:val="20"/>
    </w:rPr>
  </w:style>
  <w:style w:type="paragraph" w:customStyle="1" w:styleId="359">
    <w:name w:val="样式4"/>
    <w:basedOn w:val="7"/>
    <w:qFormat/>
    <w:uiPriority w:val="0"/>
    <w:pPr>
      <w:tabs>
        <w:tab w:val="left" w:pos="360"/>
        <w:tab w:val="left" w:pos="8740"/>
        <w:tab w:val="left" w:pos="9412"/>
      </w:tabs>
      <w:adjustRightInd/>
      <w:spacing w:line="180" w:lineRule="auto"/>
      <w:ind w:left="840" w:firstLine="0"/>
      <w:textAlignment w:val="auto"/>
    </w:pPr>
    <w:rPr>
      <w:rFonts w:ascii="Arial" w:hAnsi="Arial"/>
      <w:i/>
      <w:spacing w:val="8"/>
      <w:kern w:val="2"/>
      <w:sz w:val="28"/>
      <w:shd w:val="clear" w:color="auto" w:fill="FFFFFF"/>
    </w:rPr>
  </w:style>
  <w:style w:type="paragraph" w:customStyle="1" w:styleId="360">
    <w:name w:val="四号线第四级"/>
    <w:basedOn w:val="1"/>
    <w:qFormat/>
    <w:uiPriority w:val="0"/>
    <w:pPr>
      <w:tabs>
        <w:tab w:val="left" w:pos="600"/>
      </w:tabs>
      <w:ind w:left="600" w:hanging="420"/>
    </w:pPr>
    <w:rPr>
      <w:rFonts w:ascii="Times New Roman" w:hAnsi="Times New Roman" w:cs="Times New Roman"/>
      <w:szCs w:val="20"/>
    </w:rPr>
  </w:style>
  <w:style w:type="paragraph" w:customStyle="1" w:styleId="361">
    <w:name w:val="TOC 标题11"/>
    <w:basedOn w:val="2"/>
    <w:next w:val="1"/>
    <w:qFormat/>
    <w:uiPriority w:val="0"/>
    <w:pPr>
      <w:pageBreakBefore/>
      <w:widowControl/>
      <w:spacing w:before="0" w:after="0" w:line="276" w:lineRule="auto"/>
      <w:jc w:val="both"/>
      <w:outlineLvl w:val="9"/>
    </w:pPr>
    <w:rPr>
      <w:rFonts w:ascii="Cambria" w:hAnsi="Cambria"/>
      <w:color w:val="365F91"/>
      <w:kern w:val="0"/>
      <w:sz w:val="28"/>
    </w:rPr>
  </w:style>
  <w:style w:type="paragraph" w:customStyle="1" w:styleId="362">
    <w:name w:val="样式 (中文) 黑体 三号 黑色 行距: 最小值 48 磅"/>
    <w:basedOn w:val="1"/>
    <w:qFormat/>
    <w:uiPriority w:val="0"/>
    <w:pPr>
      <w:spacing w:line="360" w:lineRule="auto"/>
      <w:outlineLvl w:val="0"/>
    </w:pPr>
    <w:rPr>
      <w:rFonts w:ascii="宋体" w:hAnsi="宋体" w:cs="宋体"/>
      <w:b/>
      <w:szCs w:val="21"/>
    </w:rPr>
  </w:style>
  <w:style w:type="paragraph" w:customStyle="1" w:styleId="363">
    <w:name w:val="Char Char Char Char Char Char2 Char"/>
    <w:basedOn w:val="1"/>
    <w:qFormat/>
    <w:uiPriority w:val="0"/>
    <w:pPr>
      <w:spacing w:line="360" w:lineRule="auto"/>
      <w:ind w:firstLine="200" w:firstLineChars="200"/>
    </w:pPr>
    <w:rPr>
      <w:rFonts w:ascii="宋体" w:hAnsi="宋体" w:cs="宋体"/>
      <w:sz w:val="24"/>
      <w:szCs w:val="24"/>
    </w:rPr>
  </w:style>
  <w:style w:type="paragraph" w:customStyle="1" w:styleId="364">
    <w:name w:val="xl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Times New Roman"/>
      <w:color w:val="000000"/>
      <w:kern w:val="0"/>
      <w:sz w:val="18"/>
      <w:szCs w:val="18"/>
    </w:rPr>
  </w:style>
  <w:style w:type="paragraph" w:customStyle="1" w:styleId="365">
    <w:name w:val="默认段落字体 Para Char Char Char Char Char Char Char Char Char Char"/>
    <w:basedOn w:val="1"/>
    <w:qFormat/>
    <w:uiPriority w:val="0"/>
    <w:rPr>
      <w:rFonts w:ascii="Times New Roman" w:hAnsi="Times New Roman" w:cs="Times New Roman"/>
      <w:szCs w:val="24"/>
    </w:rPr>
  </w:style>
  <w:style w:type="paragraph" w:customStyle="1" w:styleId="36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67">
    <w:name w:val="±íÑùÊ½"/>
    <w:basedOn w:val="1"/>
    <w:qFormat/>
    <w:uiPriority w:val="0"/>
    <w:pPr>
      <w:widowControl/>
      <w:overflowPunct w:val="0"/>
      <w:autoSpaceDE w:val="0"/>
      <w:autoSpaceDN w:val="0"/>
      <w:adjustRightInd w:val="0"/>
      <w:spacing w:before="90" w:after="90"/>
      <w:jc w:val="left"/>
      <w:textAlignment w:val="baseline"/>
    </w:pPr>
    <w:rPr>
      <w:rFonts w:ascii="Arial" w:hAnsi="Arial" w:cs="Times New Roman"/>
      <w:kern w:val="0"/>
      <w:sz w:val="18"/>
      <w:szCs w:val="20"/>
    </w:rPr>
  </w:style>
  <w:style w:type="paragraph" w:customStyle="1" w:styleId="36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Cs/>
      <w:i/>
      <w:iCs/>
      <w:sz w:val="28"/>
      <w:szCs w:val="24"/>
    </w:rPr>
  </w:style>
  <w:style w:type="paragraph" w:customStyle="1" w:styleId="369">
    <w:name w:val="zhw"/>
    <w:basedOn w:val="1"/>
    <w:qFormat/>
    <w:uiPriority w:val="0"/>
    <w:pPr>
      <w:adjustRightInd w:val="0"/>
      <w:jc w:val="left"/>
      <w:textAlignment w:val="baseline"/>
    </w:pPr>
    <w:rPr>
      <w:rFonts w:ascii="Arial" w:hAnsi="Arial" w:eastAsia="Times New Roman" w:cs="Times New Roman"/>
      <w:sz w:val="24"/>
      <w:szCs w:val="20"/>
    </w:rPr>
  </w:style>
  <w:style w:type="paragraph" w:customStyle="1" w:styleId="370">
    <w:name w:val="Char Char Char Char Char Char Char Char Char Char Char Char Char Char Char Char Char Char1 Char Char Char Char1"/>
    <w:basedOn w:val="1"/>
    <w:qFormat/>
    <w:uiPriority w:val="0"/>
    <w:rPr>
      <w:rFonts w:ascii="Times New Roman" w:hAnsi="Times New Roman" w:cs="Times New Roman"/>
      <w:szCs w:val="24"/>
    </w:rPr>
  </w:style>
  <w:style w:type="paragraph" w:customStyle="1" w:styleId="371">
    <w:name w:val="正文文本 32"/>
    <w:basedOn w:val="25"/>
    <w:qFormat/>
    <w:uiPriority w:val="0"/>
    <w:pPr>
      <w:autoSpaceDE w:val="0"/>
      <w:autoSpaceDN w:val="0"/>
      <w:adjustRightInd w:val="0"/>
      <w:ind w:left="360" w:leftChars="0"/>
      <w:jc w:val="left"/>
      <w:textAlignment w:val="baseline"/>
    </w:pPr>
    <w:rPr>
      <w:kern w:val="0"/>
      <w:sz w:val="20"/>
      <w:szCs w:val="20"/>
    </w:rPr>
  </w:style>
  <w:style w:type="paragraph" w:customStyle="1" w:styleId="372">
    <w:name w:val="a6"/>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373">
    <w:name w:val="标书表格"/>
    <w:basedOn w:val="1"/>
    <w:qFormat/>
    <w:uiPriority w:val="0"/>
    <w:pPr>
      <w:widowControl/>
      <w:spacing w:line="360" w:lineRule="atLeast"/>
      <w:jc w:val="center"/>
    </w:pPr>
    <w:rPr>
      <w:rFonts w:ascii="幼圆" w:eastAsia="幼圆" w:cs="Times New Roman"/>
      <w:color w:val="000000"/>
      <w:kern w:val="0"/>
      <w:sz w:val="18"/>
      <w:szCs w:val="21"/>
      <w:lang w:bidi="en-US"/>
    </w:rPr>
  </w:style>
  <w:style w:type="paragraph" w:customStyle="1" w:styleId="374">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b/>
      <w:bCs/>
      <w:color w:val="000000"/>
      <w:kern w:val="0"/>
      <w:sz w:val="18"/>
      <w:szCs w:val="18"/>
    </w:rPr>
  </w:style>
  <w:style w:type="paragraph" w:customStyle="1" w:styleId="375">
    <w:name w:val="默认段落字体 Para Char Char Char Char Char Char Char"/>
    <w:basedOn w:val="1"/>
    <w:qFormat/>
    <w:uiPriority w:val="0"/>
    <w:pPr>
      <w:tabs>
        <w:tab w:val="left" w:pos="4665"/>
        <w:tab w:val="left" w:pos="8970"/>
      </w:tabs>
      <w:ind w:firstLine="400"/>
    </w:pPr>
    <w:rPr>
      <w:rFonts w:ascii="Times New Roman" w:hAnsi="Times New Roman" w:cs="Times New Roman"/>
      <w:szCs w:val="24"/>
    </w:rPr>
  </w:style>
  <w:style w:type="paragraph" w:customStyle="1" w:styleId="376">
    <w:name w:val="1"/>
    <w:basedOn w:val="1"/>
    <w:next w:val="1"/>
    <w:qFormat/>
    <w:uiPriority w:val="0"/>
    <w:rPr>
      <w:rFonts w:ascii="Times New Roman" w:hAnsi="Times New Roman" w:cs="Times New Roman"/>
      <w:szCs w:val="24"/>
    </w:rPr>
  </w:style>
  <w:style w:type="paragraph" w:customStyle="1" w:styleId="377">
    <w:name w:val="五级条标题"/>
    <w:basedOn w:val="287"/>
    <w:next w:val="150"/>
    <w:qFormat/>
    <w:uiPriority w:val="0"/>
    <w:pPr>
      <w:tabs>
        <w:tab w:val="left" w:pos="1680"/>
        <w:tab w:val="clear" w:pos="1260"/>
      </w:tabs>
      <w:ind w:left="1680"/>
      <w:outlineLvl w:val="6"/>
    </w:pPr>
  </w:style>
  <w:style w:type="paragraph" w:customStyle="1" w:styleId="378">
    <w:name w:val="表格4"/>
    <w:basedOn w:val="1"/>
    <w:qFormat/>
    <w:uiPriority w:val="0"/>
    <w:pPr>
      <w:adjustRightInd w:val="0"/>
      <w:spacing w:line="420" w:lineRule="atLeast"/>
      <w:ind w:left="1021"/>
      <w:textAlignment w:val="baseline"/>
    </w:pPr>
    <w:rPr>
      <w:rFonts w:ascii="Times New Roman" w:hAnsi="Times New Roman" w:cs="Times New Roman"/>
      <w:kern w:val="0"/>
      <w:szCs w:val="20"/>
    </w:rPr>
  </w:style>
  <w:style w:type="paragraph" w:customStyle="1" w:styleId="379">
    <w:name w:val="Char Char Char1"/>
    <w:basedOn w:val="1"/>
    <w:qFormat/>
    <w:uiPriority w:val="0"/>
    <w:rPr>
      <w:rFonts w:ascii="Tahoma" w:hAnsi="Tahoma" w:cs="Times New Roman"/>
      <w:sz w:val="24"/>
      <w:szCs w:val="20"/>
    </w:rPr>
  </w:style>
  <w:style w:type="paragraph" w:customStyle="1" w:styleId="380">
    <w:name w:val="样式 标题 3 + (中文) 黑体 小四 非加粗 段前: 7.8 磅 段后: 0 磅 行距: 固定值 20 磅"/>
    <w:basedOn w:val="5"/>
    <w:qFormat/>
    <w:uiPriority w:val="0"/>
    <w:pPr>
      <w:widowControl w:val="0"/>
      <w:spacing w:before="0" w:after="0" w:line="400" w:lineRule="exact"/>
      <w:ind w:left="0" w:firstLine="0"/>
      <w:jc w:val="both"/>
    </w:pPr>
    <w:rPr>
      <w:rFonts w:eastAsia="黑体" w:cs="宋体"/>
      <w:b w:val="0"/>
      <w:sz w:val="24"/>
    </w:rPr>
  </w:style>
  <w:style w:type="paragraph" w:customStyle="1" w:styleId="381">
    <w:name w:val="MH-Spec 7S"/>
    <w:basedOn w:val="1"/>
    <w:qFormat/>
    <w:uiPriority w:val="0"/>
    <w:pPr>
      <w:widowControl/>
      <w:tabs>
        <w:tab w:val="left" w:pos="1701"/>
      </w:tabs>
      <w:spacing w:beforeLines="100" w:after="312"/>
      <w:ind w:left="1701" w:right="200" w:rightChars="100" w:hanging="567"/>
      <w:jc w:val="left"/>
    </w:pPr>
    <w:rPr>
      <w:rFonts w:cs="Times New Roman"/>
      <w:kern w:val="0"/>
      <w:sz w:val="22"/>
      <w:szCs w:val="20"/>
      <w:lang w:bidi="en-US"/>
    </w:rPr>
  </w:style>
  <w:style w:type="paragraph" w:customStyle="1" w:styleId="382">
    <w:name w:val="表格"/>
    <w:basedOn w:val="1"/>
    <w:qFormat/>
    <w:uiPriority w:val="0"/>
    <w:pPr>
      <w:jc w:val="center"/>
      <w:textAlignment w:val="center"/>
    </w:pPr>
    <w:rPr>
      <w:rFonts w:ascii="华文细黑" w:hAnsi="华文细黑" w:cs="Times New Roman"/>
      <w:kern w:val="0"/>
      <w:szCs w:val="20"/>
    </w:rPr>
  </w:style>
  <w:style w:type="paragraph" w:customStyle="1" w:styleId="383">
    <w:name w:val="无间隔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4">
    <w:name w:val="xl35"/>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cs="Times New Roman"/>
      <w:kern w:val="0"/>
      <w:sz w:val="24"/>
      <w:szCs w:val="24"/>
    </w:rPr>
  </w:style>
  <w:style w:type="table" w:customStyle="1" w:styleId="385">
    <w:name w:val="网格型1"/>
    <w:basedOn w:val="59"/>
    <w:qFormat/>
    <w:uiPriority w:val="59"/>
    <w:rPr>
      <w:rFonts w:ascii="Calibri" w:hAnsi="Calibri"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386">
    <w:name w:val="正文首行缩进 Char1"/>
    <w:basedOn w:val="203"/>
    <w:semiHidden/>
    <w:qFormat/>
    <w:uiPriority w:val="99"/>
    <w:rPr>
      <w:rFonts w:ascii="Calibri" w:hAnsi="Calibri" w:eastAsia="宋体" w:cs="黑体"/>
    </w:rPr>
  </w:style>
  <w:style w:type="character" w:customStyle="1" w:styleId="387">
    <w:name w:val="正文首行缩进 2 Char1"/>
    <w:basedOn w:val="206"/>
    <w:semiHidden/>
    <w:qFormat/>
    <w:uiPriority w:val="99"/>
    <w:rPr>
      <w:rFonts w:ascii="Calibri" w:hAnsi="Calibri" w:eastAsia="宋体" w:cs="黑体"/>
    </w:rPr>
  </w:style>
  <w:style w:type="paragraph" w:styleId="388">
    <w:name w:val="List Paragraph"/>
    <w:basedOn w:val="1"/>
    <w:qFormat/>
    <w:uiPriority w:val="34"/>
    <w:pPr>
      <w:adjustRightInd w:val="0"/>
      <w:snapToGrid w:val="0"/>
      <w:spacing w:line="360" w:lineRule="auto"/>
      <w:ind w:left="426" w:firstLine="723" w:firstLineChars="300"/>
    </w:pPr>
    <w:rPr>
      <w:b/>
      <w:bCs/>
      <w:sz w:val="24"/>
      <w:szCs w:val="24"/>
    </w:rPr>
  </w:style>
  <w:style w:type="character" w:customStyle="1" w:styleId="389">
    <w:name w:val="标题 2 字符"/>
    <w:qFormat/>
    <w:uiPriority w:val="0"/>
    <w:rPr>
      <w:rFonts w:ascii="Arial" w:hAnsi="Arial" w:eastAsia="宋体" w:cs="Times New Roman"/>
      <w:b/>
      <w:sz w:val="32"/>
      <w:szCs w:val="20"/>
    </w:rPr>
  </w:style>
  <w:style w:type="character" w:customStyle="1" w:styleId="390">
    <w:name w:val="标题 3 字符"/>
    <w:qFormat/>
    <w:uiPriority w:val="0"/>
    <w:rPr>
      <w:rFonts w:ascii="Times New Roman" w:hAnsi="Times New Roman" w:eastAsia="宋体" w:cs="Times New Roman"/>
      <w:b/>
      <w:sz w:val="32"/>
      <w:szCs w:val="24"/>
    </w:rPr>
  </w:style>
  <w:style w:type="paragraph" w:customStyle="1" w:styleId="391">
    <w:name w:val="_Style 389"/>
    <w:basedOn w:val="24"/>
    <w:next w:val="57"/>
    <w:link w:val="405"/>
    <w:qFormat/>
    <w:uiPriority w:val="99"/>
    <w:pPr>
      <w:ind w:firstLine="420" w:firstLineChars="100"/>
    </w:pPr>
    <w:rPr>
      <w:rFonts w:ascii="Times New Roman" w:hAnsi="Times New Roman" w:cs="Times New Roman"/>
    </w:rPr>
  </w:style>
  <w:style w:type="character" w:customStyle="1" w:styleId="392">
    <w:name w:val="正文文本缩进 字符"/>
    <w:basedOn w:val="61"/>
    <w:qFormat/>
    <w:uiPriority w:val="0"/>
  </w:style>
  <w:style w:type="character" w:customStyle="1" w:styleId="393">
    <w:name w:val="标题 字符1"/>
    <w:qFormat/>
    <w:uiPriority w:val="0"/>
    <w:rPr>
      <w:rFonts w:ascii="Cambria" w:hAnsi="Cambria" w:eastAsia="宋体" w:cs="黑体"/>
      <w:b/>
      <w:bCs/>
      <w:sz w:val="32"/>
      <w:szCs w:val="32"/>
    </w:rPr>
  </w:style>
  <w:style w:type="character" w:customStyle="1" w:styleId="394">
    <w:name w:val="批注框文本 字符"/>
    <w:semiHidden/>
    <w:qFormat/>
    <w:uiPriority w:val="99"/>
    <w:rPr>
      <w:sz w:val="18"/>
      <w:szCs w:val="18"/>
    </w:rPr>
  </w:style>
  <w:style w:type="character" w:customStyle="1" w:styleId="395">
    <w:name w:val="正文文本缩进 3 字符"/>
    <w:semiHidden/>
    <w:qFormat/>
    <w:uiPriority w:val="99"/>
    <w:rPr>
      <w:sz w:val="16"/>
      <w:szCs w:val="16"/>
    </w:rPr>
  </w:style>
  <w:style w:type="character" w:customStyle="1" w:styleId="396">
    <w:name w:val="标题 8 字符"/>
    <w:qFormat/>
    <w:uiPriority w:val="0"/>
    <w:rPr>
      <w:rFonts w:ascii="Arial" w:hAnsi="Arial" w:eastAsia="黑体" w:cs="Times New Roman"/>
      <w:kern w:val="0"/>
      <w:sz w:val="24"/>
      <w:szCs w:val="24"/>
    </w:rPr>
  </w:style>
  <w:style w:type="character" w:customStyle="1" w:styleId="397">
    <w:name w:val="副标题 字符"/>
    <w:qFormat/>
    <w:uiPriority w:val="0"/>
    <w:rPr>
      <w:rFonts w:ascii="Cambria" w:hAnsi="Cambria" w:eastAsia="宋体" w:cs="黑体"/>
      <w:b/>
      <w:bCs/>
      <w:kern w:val="28"/>
      <w:sz w:val="32"/>
      <w:szCs w:val="32"/>
    </w:rPr>
  </w:style>
  <w:style w:type="character" w:customStyle="1" w:styleId="398">
    <w:name w:val="页脚 字符"/>
    <w:qFormat/>
    <w:uiPriority w:val="99"/>
    <w:rPr>
      <w:rFonts w:ascii="Times New Roman" w:hAnsi="Times New Roman" w:eastAsia="宋体" w:cs="Times New Roman"/>
      <w:sz w:val="18"/>
      <w:szCs w:val="20"/>
    </w:rPr>
  </w:style>
  <w:style w:type="character" w:customStyle="1" w:styleId="399">
    <w:name w:val="HTML 预设格式 字符"/>
    <w:semiHidden/>
    <w:qFormat/>
    <w:uiPriority w:val="99"/>
    <w:rPr>
      <w:rFonts w:ascii="Courier New" w:hAnsi="Courier New" w:cs="Courier New"/>
      <w:sz w:val="20"/>
      <w:szCs w:val="20"/>
    </w:rPr>
  </w:style>
  <w:style w:type="character" w:customStyle="1" w:styleId="400">
    <w:name w:val="批注文字 字符"/>
    <w:basedOn w:val="61"/>
    <w:semiHidden/>
    <w:qFormat/>
    <w:uiPriority w:val="99"/>
  </w:style>
  <w:style w:type="character" w:customStyle="1" w:styleId="401">
    <w:name w:val="尾注文本 字符"/>
    <w:basedOn w:val="61"/>
    <w:semiHidden/>
    <w:qFormat/>
    <w:uiPriority w:val="99"/>
  </w:style>
  <w:style w:type="character" w:customStyle="1" w:styleId="402">
    <w:name w:val="标题 5 字符"/>
    <w:qFormat/>
    <w:uiPriority w:val="0"/>
    <w:rPr>
      <w:rFonts w:ascii="Times New Roman" w:hAnsi="Times New Roman" w:eastAsia="楷体_GB2312" w:cs="Times New Roman"/>
      <w:sz w:val="28"/>
      <w:szCs w:val="24"/>
    </w:rPr>
  </w:style>
  <w:style w:type="character" w:customStyle="1" w:styleId="403">
    <w:name w:val="标题 1 字符"/>
    <w:qFormat/>
    <w:uiPriority w:val="0"/>
    <w:rPr>
      <w:rFonts w:ascii="Times New Roman" w:hAnsi="Times New Roman" w:eastAsia="宋体" w:cs="Times New Roman"/>
      <w:b/>
      <w:kern w:val="44"/>
      <w:sz w:val="44"/>
      <w:szCs w:val="20"/>
    </w:rPr>
  </w:style>
  <w:style w:type="character" w:customStyle="1" w:styleId="404">
    <w:name w:val="文档结构图 字符"/>
    <w:qFormat/>
    <w:uiPriority w:val="0"/>
    <w:rPr>
      <w:rFonts w:ascii="宋体" w:eastAsia="宋体"/>
      <w:sz w:val="18"/>
      <w:szCs w:val="18"/>
    </w:rPr>
  </w:style>
  <w:style w:type="character" w:customStyle="1" w:styleId="405">
    <w:name w:val="正文文本首行缩进 字符"/>
    <w:basedOn w:val="406"/>
    <w:link w:val="391"/>
    <w:qFormat/>
    <w:uiPriority w:val="99"/>
    <w:rPr>
      <w:rFonts w:ascii="Times New Roman" w:hAnsi="Times New Roman" w:eastAsia="宋体" w:cs="Times New Roman"/>
      <w:szCs w:val="24"/>
    </w:rPr>
  </w:style>
  <w:style w:type="character" w:customStyle="1" w:styleId="406">
    <w:name w:val="正文文本 字符"/>
    <w:basedOn w:val="61"/>
    <w:semiHidden/>
    <w:qFormat/>
    <w:uiPriority w:val="99"/>
  </w:style>
  <w:style w:type="character" w:customStyle="1" w:styleId="407">
    <w:name w:val="批注主题 字符"/>
    <w:semiHidden/>
    <w:qFormat/>
    <w:uiPriority w:val="99"/>
    <w:rPr>
      <w:b/>
      <w:bCs/>
    </w:rPr>
  </w:style>
  <w:style w:type="character" w:customStyle="1" w:styleId="408">
    <w:name w:val="称呼 字符"/>
    <w:basedOn w:val="61"/>
    <w:semiHidden/>
    <w:qFormat/>
    <w:uiPriority w:val="99"/>
  </w:style>
  <w:style w:type="character" w:customStyle="1" w:styleId="409">
    <w:name w:val="正文文本 2 字符"/>
    <w:basedOn w:val="61"/>
    <w:semiHidden/>
    <w:qFormat/>
    <w:uiPriority w:val="99"/>
  </w:style>
  <w:style w:type="character" w:customStyle="1" w:styleId="410">
    <w:name w:val="标题 7 字符"/>
    <w:qFormat/>
    <w:uiPriority w:val="0"/>
    <w:rPr>
      <w:rFonts w:ascii="Times New Roman" w:hAnsi="Times New Roman" w:eastAsia="宋体" w:cs="Times New Roman"/>
      <w:b/>
      <w:bCs/>
      <w:kern w:val="0"/>
      <w:sz w:val="24"/>
      <w:szCs w:val="24"/>
    </w:rPr>
  </w:style>
  <w:style w:type="character" w:customStyle="1" w:styleId="411">
    <w:name w:val="标题 6 字符"/>
    <w:qFormat/>
    <w:uiPriority w:val="0"/>
    <w:rPr>
      <w:rFonts w:ascii="Arial" w:hAnsi="Arial" w:eastAsia="黑体" w:cs="Times New Roman"/>
      <w:b/>
      <w:bCs/>
      <w:kern w:val="0"/>
      <w:sz w:val="24"/>
      <w:szCs w:val="24"/>
    </w:rPr>
  </w:style>
  <w:style w:type="character" w:customStyle="1" w:styleId="412">
    <w:name w:val="日期 字符"/>
    <w:basedOn w:val="61"/>
    <w:semiHidden/>
    <w:qFormat/>
    <w:uiPriority w:val="99"/>
  </w:style>
  <w:style w:type="character" w:customStyle="1" w:styleId="413">
    <w:name w:val="页眉 字符"/>
    <w:semiHidden/>
    <w:qFormat/>
    <w:uiPriority w:val="0"/>
    <w:rPr>
      <w:sz w:val="18"/>
      <w:szCs w:val="18"/>
    </w:rPr>
  </w:style>
  <w:style w:type="character" w:customStyle="1" w:styleId="414">
    <w:name w:val="标题 4 字符"/>
    <w:qFormat/>
    <w:uiPriority w:val="0"/>
    <w:rPr>
      <w:rFonts w:ascii="Times New Roman" w:hAnsi="Times New Roman" w:eastAsia="宋体" w:cs="Times New Roman"/>
      <w:i/>
      <w:kern w:val="0"/>
      <w:szCs w:val="20"/>
    </w:rPr>
  </w:style>
  <w:style w:type="character" w:customStyle="1" w:styleId="415">
    <w:name w:val="正文缩进 字符"/>
    <w:qFormat/>
    <w:uiPriority w:val="0"/>
    <w:rPr>
      <w:rFonts w:ascii="Times New Roman" w:hAnsi="Times New Roman" w:eastAsia="宋体" w:cs="Times New Roman"/>
      <w:szCs w:val="24"/>
    </w:rPr>
  </w:style>
  <w:style w:type="character" w:customStyle="1" w:styleId="416">
    <w:name w:val="正文文本缩进 2 字符"/>
    <w:basedOn w:val="61"/>
    <w:semiHidden/>
    <w:qFormat/>
    <w:uiPriority w:val="99"/>
  </w:style>
  <w:style w:type="character" w:customStyle="1" w:styleId="417">
    <w:name w:val="纯文本 字符"/>
    <w:semiHidden/>
    <w:qFormat/>
    <w:uiPriority w:val="99"/>
    <w:rPr>
      <w:rFonts w:ascii="宋体" w:hAnsi="Courier New" w:eastAsia="宋体" w:cs="Courier New"/>
      <w:szCs w:val="21"/>
    </w:rPr>
  </w:style>
  <w:style w:type="character" w:customStyle="1" w:styleId="418">
    <w:name w:val="标题 9 字符"/>
    <w:qFormat/>
    <w:uiPriority w:val="0"/>
    <w:rPr>
      <w:rFonts w:ascii="Arial" w:hAnsi="Arial" w:eastAsia="黑体" w:cs="Times New Roman"/>
      <w:kern w:val="0"/>
      <w:szCs w:val="21"/>
    </w:rPr>
  </w:style>
  <w:style w:type="character" w:customStyle="1" w:styleId="419">
    <w:name w:val="脚注文本 字符"/>
    <w:semiHidden/>
    <w:qFormat/>
    <w:uiPriority w:val="99"/>
    <w:rPr>
      <w:sz w:val="18"/>
      <w:szCs w:val="18"/>
    </w:rPr>
  </w:style>
  <w:style w:type="character" w:customStyle="1" w:styleId="420">
    <w:name w:val="正文文本 3 字符"/>
    <w:semiHidden/>
    <w:qFormat/>
    <w:uiPriority w:val="99"/>
    <w:rPr>
      <w:sz w:val="16"/>
      <w:szCs w:val="16"/>
    </w:rPr>
  </w:style>
  <w:style w:type="paragraph" w:customStyle="1" w:styleId="421">
    <w:name w:val="修订3"/>
    <w:qFormat/>
    <w:uiPriority w:val="0"/>
    <w:rPr>
      <w:rFonts w:ascii="Times New Roman" w:hAnsi="Times New Roman" w:eastAsia="宋体" w:cs="Times New Roman"/>
      <w:kern w:val="2"/>
      <w:sz w:val="21"/>
      <w:szCs w:val="24"/>
      <w:lang w:val="en-US" w:eastAsia="zh-CN" w:bidi="ar-SA"/>
    </w:rPr>
  </w:style>
  <w:style w:type="paragraph" w:customStyle="1" w:styleId="422">
    <w:name w:val="列出段落3"/>
    <w:basedOn w:val="1"/>
    <w:qFormat/>
    <w:uiPriority w:val="34"/>
    <w:pPr>
      <w:ind w:firstLine="420" w:firstLineChars="200"/>
    </w:pPr>
    <w:rPr>
      <w:szCs w:val="24"/>
    </w:rPr>
  </w:style>
  <w:style w:type="paragraph" w:customStyle="1" w:styleId="423">
    <w:name w:val="TOC 标题2"/>
    <w:basedOn w:val="2"/>
    <w:next w:val="1"/>
    <w:unhideWhenUsed/>
    <w:qFormat/>
    <w:uiPriority w:val="39"/>
    <w:pPr>
      <w:widowControl/>
      <w:spacing w:before="480" w:after="0" w:line="276" w:lineRule="auto"/>
      <w:jc w:val="left"/>
      <w:outlineLvl w:val="9"/>
    </w:pPr>
    <w:rPr>
      <w:rFonts w:ascii="Cambria" w:hAnsi="Cambria"/>
      <w:bCs/>
      <w:color w:val="365F91"/>
      <w:kern w:val="0"/>
      <w:sz w:val="28"/>
      <w:szCs w:val="28"/>
    </w:rPr>
  </w:style>
  <w:style w:type="paragraph" w:customStyle="1" w:styleId="424">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5">
    <w:name w:val="Char4"/>
    <w:basedOn w:val="18"/>
    <w:qFormat/>
    <w:uiPriority w:val="0"/>
    <w:pPr>
      <w:shd w:val="clear" w:color="auto" w:fill="000080"/>
      <w:ind w:left="480" w:leftChars="200" w:firstLine="200" w:firstLineChars="200"/>
    </w:pPr>
    <w:rPr>
      <w:rFonts w:ascii="Times New Roman" w:hAnsi="Times New Roman" w:cs="Times New Roman"/>
      <w:sz w:val="21"/>
      <w:szCs w:val="20"/>
    </w:rPr>
  </w:style>
  <w:style w:type="character" w:customStyle="1" w:styleId="426">
    <w:name w:val="*正文 Char"/>
    <w:link w:val="427"/>
    <w:qFormat/>
    <w:uiPriority w:val="0"/>
    <w:rPr>
      <w:rFonts w:ascii="仿宋_GB2312" w:hAnsi="宋体" w:eastAsia="仿宋_GB2312" w:cstheme="minorBidi"/>
      <w:sz w:val="24"/>
    </w:rPr>
  </w:style>
  <w:style w:type="paragraph" w:customStyle="1" w:styleId="427">
    <w:name w:val="*正文"/>
    <w:basedOn w:val="1"/>
    <w:link w:val="426"/>
    <w:qFormat/>
    <w:uiPriority w:val="0"/>
    <w:pPr>
      <w:widowControl/>
      <w:spacing w:line="360" w:lineRule="auto"/>
      <w:ind w:firstLine="482"/>
    </w:pPr>
    <w:rPr>
      <w:rFonts w:ascii="仿宋_GB2312" w:hAnsi="宋体" w:eastAsia="仿宋_GB2312" w:cstheme="minorBidi"/>
      <w:kern w:val="0"/>
      <w:sz w:val="24"/>
      <w:szCs w:val="20"/>
    </w:rPr>
  </w:style>
  <w:style w:type="character" w:customStyle="1" w:styleId="428">
    <w:name w:val="宏文本 Char"/>
    <w:basedOn w:val="61"/>
    <w:link w:val="4"/>
    <w:qFormat/>
    <w:uiPriority w:val="99"/>
    <w:rPr>
      <w:rFonts w:ascii="Courier New" w:hAnsi="Courier New" w:eastAsia="宋体" w:cs="Times New Roman"/>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981C6C-AA7F-4792-A27B-13BE5DE058BF}">
  <ds:schemaRefs/>
</ds:datastoreItem>
</file>

<file path=docProps/app.xml><?xml version="1.0" encoding="utf-8"?>
<Properties xmlns="http://schemas.openxmlformats.org/officeDocument/2006/extended-properties" xmlns:vt="http://schemas.openxmlformats.org/officeDocument/2006/docPropsVTypes">
  <Template>Normal.dotm</Template>
  <Pages>75</Pages>
  <Words>49858</Words>
  <Characters>56832</Characters>
  <Lines>419</Lines>
  <Paragraphs>118</Paragraphs>
  <TotalTime>218</TotalTime>
  <ScaleCrop>false</ScaleCrop>
  <LinksUpToDate>false</LinksUpToDate>
  <CharactersWithSpaces>57642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2024-03-25T02:43:00Z</dcterms:created>
  <dc:creator>韦峰</dc:creator>
  <cp:lastModifiedBy>WPS_1620615637</cp:lastModifiedBy>
  <dcterms:modified xsi:type="dcterms:W3CDTF">2025-04-23T06:09:13Z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E26B024062854984BFDB452BC5F12A17</vt:lpwstr>
  </property>
</Properties>
</file>